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widowControl/>
                              <w:spacing w:line="560" w:lineRule="exact"/>
                              <w:ind w:firstLine="2200" w:firstLineChars="500"/>
                              <w:jc w:val="both"/>
                              <w:rPr>
                                <w:rFonts w:hint="eastAsia" w:ascii="楷体" w:hAnsi="楷体" w:eastAsia="楷体" w:cs="楷体"/>
                                <w:color w:val="auto"/>
                                <w:sz w:val="44"/>
                                <w:szCs w:val="44"/>
                                <w:highlight w:val="none"/>
                                <w:shd w:val="clear" w:fill="FFFFFF"/>
                                <w:lang w:val="en-US" w:eastAsia="zh-CN"/>
                              </w:rPr>
                            </w:pPr>
                            <w:r>
                              <w:rPr>
                                <w:rFonts w:hint="eastAsia" w:ascii="楷体" w:hAnsi="楷体" w:eastAsia="楷体" w:cs="楷体"/>
                                <w:color w:val="auto"/>
                                <w:sz w:val="44"/>
                                <w:szCs w:val="44"/>
                                <w:highlight w:val="none"/>
                                <w:shd w:val="clear" w:fill="FFFFFF"/>
                                <w:lang w:val="en-US" w:eastAsia="zh-CN"/>
                              </w:rPr>
                              <w:t>二〇二〇年十一月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667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widowControl/>
                        <w:spacing w:line="560" w:lineRule="exact"/>
                        <w:ind w:firstLine="2200" w:firstLineChars="500"/>
                        <w:jc w:val="both"/>
                        <w:rPr>
                          <w:rFonts w:hint="eastAsia" w:ascii="楷体" w:hAnsi="楷体" w:eastAsia="楷体" w:cs="楷体"/>
                          <w:color w:val="auto"/>
                          <w:sz w:val="44"/>
                          <w:szCs w:val="44"/>
                          <w:highlight w:val="none"/>
                          <w:shd w:val="clear" w:fill="FFFFFF"/>
                          <w:lang w:val="en-US" w:eastAsia="zh-CN"/>
                        </w:rPr>
                      </w:pPr>
                      <w:r>
                        <w:rPr>
                          <w:rFonts w:hint="eastAsia" w:ascii="楷体" w:hAnsi="楷体" w:eastAsia="楷体" w:cs="楷体"/>
                          <w:color w:val="auto"/>
                          <w:sz w:val="44"/>
                          <w:szCs w:val="44"/>
                          <w:highlight w:val="none"/>
                          <w:shd w:val="clear" w:fill="FFFFFF"/>
                          <w:lang w:val="en-US" w:eastAsia="zh-CN"/>
                        </w:rPr>
                        <w:t>二〇二〇年十一月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257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8179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8076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4624"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462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281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36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564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widowControl/>
        <w:jc w:val="center"/>
        <w:rPr>
          <w:rFonts w:hint="eastAsia" w:ascii="楷体" w:hAnsi="楷体" w:eastAsia="楷体" w:cs="楷体"/>
          <w:sz w:val="44"/>
          <w:szCs w:val="44"/>
        </w:rPr>
      </w:pPr>
      <w:r>
        <w:rPr>
          <w:rFonts w:hint="eastAsia" w:ascii="楷体" w:hAnsi="楷体" w:eastAsia="楷体" w:cs="楷体"/>
          <w:b/>
          <w:color w:val="auto"/>
          <w:sz w:val="44"/>
          <w:szCs w:val="44"/>
          <w:highlight w:val="none"/>
        </w:rPr>
        <w:t>廊坊市</w:t>
      </w:r>
      <w:r>
        <w:rPr>
          <w:rFonts w:hint="eastAsia" w:ascii="楷体" w:hAnsi="楷体" w:eastAsia="楷体" w:cs="楷体"/>
          <w:b/>
          <w:color w:val="auto"/>
          <w:sz w:val="44"/>
          <w:szCs w:val="44"/>
          <w:highlight w:val="none"/>
          <w:lang w:eastAsia="zh-CN"/>
        </w:rPr>
        <w:t>大厂回族自治县自然资源和规划局</w:t>
      </w:r>
    </w:p>
    <w:p>
      <w:pPr>
        <w:widowControl/>
        <w:spacing w:line="560" w:lineRule="exact"/>
        <w:ind w:firstLine="2640" w:firstLineChars="600"/>
        <w:jc w:val="both"/>
        <w:rPr>
          <w:rFonts w:hint="eastAsia" w:ascii="楷体" w:hAnsi="楷体" w:eastAsia="楷体" w:cs="楷体"/>
          <w:color w:val="auto"/>
          <w:sz w:val="44"/>
          <w:szCs w:val="44"/>
          <w:highlight w:val="none"/>
          <w:shd w:val="clear" w:fill="FFFFFF"/>
          <w:lang w:val="en-US" w:eastAsia="zh-CN"/>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 w:hAnsi="楷体" w:eastAsia="楷体" w:cs="楷体"/>
          <w:color w:val="auto"/>
          <w:sz w:val="44"/>
          <w:szCs w:val="44"/>
          <w:highlight w:val="none"/>
          <w:shd w:val="clear" w:fill="FFFFFF"/>
          <w:lang w:val="en-US" w:eastAsia="zh-CN"/>
        </w:rPr>
        <w:t>二〇二〇年十一月</w:t>
      </w:r>
    </w:p>
    <w:p>
      <w:pPr>
        <w:widowControl/>
        <w:spacing w:line="600" w:lineRule="exact"/>
        <w:jc w:val="left"/>
        <w:rPr>
          <w:rFonts w:ascii="黑体" w:hAnsi="黑体" w:eastAsia="黑体" w:cs="黑体"/>
          <w:bCs/>
          <w:color w:val="000000" w:themeColor="text1"/>
          <w:sz w:val="32"/>
          <w:szCs w:val="32"/>
          <w:highlight w:val="yellow"/>
          <w14:textFill>
            <w14:solidFill>
              <w14:schemeClr w14:val="tx1"/>
            </w14:solidFill>
          </w14:textFill>
        </w:rPr>
      </w:pP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一、部门职责</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一、收入支出决算总体情况说明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二、收入决算情况说明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三、支出决算情况说明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四、财政拨款收入支出决算总体情况说明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五、一般公共预算“三公”经费支出决算情况说明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六、其他重要事项的说明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一、预算绩效情况说明</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二、预算绩效公开表格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仿宋" w:hAnsi="仿宋" w:eastAsia="仿宋" w:cs="仿宋"/>
          <w:color w:val="auto"/>
          <w:kern w:val="2"/>
          <w:sz w:val="32"/>
          <w:szCs w:val="32"/>
          <w:highlight w:val="none"/>
          <w:shd w:val="clear" w:fill="FFFFFF"/>
          <w:lang w:val="en-US" w:eastAsia="zh-CN" w:bidi="ar-SA"/>
        </w:rPr>
        <w:t xml:space="preserve"> 项目支出绩效自评表</w:t>
      </w:r>
    </w:p>
    <w:p>
      <w:pPr>
        <w:widowControl/>
        <w:spacing w:after="160" w:line="584" w:lineRule="exact"/>
        <w:ind w:left="640" w:firstLine="640" w:firstLineChars="200"/>
        <w:rPr>
          <w:rFonts w:hint="eastAsia" w:ascii="仿宋" w:hAnsi="仿宋" w:eastAsia="仿宋" w:cs="仿宋"/>
          <w:color w:val="auto"/>
          <w:kern w:val="2"/>
          <w:sz w:val="32"/>
          <w:szCs w:val="32"/>
          <w:highlight w:val="none"/>
          <w:shd w:val="clear" w:fill="FFFFFF"/>
          <w:lang w:val="en-US" w:eastAsia="zh-CN" w:bidi="ar-SA"/>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 w:hAnsi="仿宋" w:eastAsia="仿宋" w:cs="仿宋"/>
          <w:color w:val="auto"/>
          <w:kern w:val="2"/>
          <w:sz w:val="32"/>
          <w:szCs w:val="32"/>
          <w:highlight w:val="none"/>
          <w:shd w:val="clear" w:fill="FFFFFF"/>
          <w:lang w:val="en-US" w:eastAsia="zh-CN" w:bidi="ar-SA"/>
        </w:rPr>
        <w:t xml:space="preserve"> 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588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3"/>
        <w:spacing w:before="0" w:after="0" w:line="600" w:lineRule="exact"/>
        <w:jc w:val="left"/>
        <w:rPr>
          <w:rFonts w:ascii="黑体" w:hAnsi="Cambria" w:eastAsia="黑体" w:cs="黑体"/>
          <w:b w:val="0"/>
          <w:bCs w:val="0"/>
          <w:color w:val="auto"/>
          <w:kern w:val="0"/>
          <w:sz w:val="32"/>
          <w:szCs w:val="32"/>
          <w:highlight w:val="none"/>
        </w:rPr>
      </w:pPr>
      <w:r>
        <w:rPr>
          <w:rFonts w:hint="eastAsia" w:ascii="黑体" w:eastAsia="黑体" w:cs="黑体"/>
          <w:b w:val="0"/>
          <w:bCs w:val="0"/>
          <w:color w:val="000000" w:themeColor="text1"/>
          <w:kern w:val="0"/>
          <w:sz w:val="32"/>
          <w:szCs w:val="32"/>
          <w:lang w:eastAsia="zh-CN"/>
          <w14:textFill>
            <w14:solidFill>
              <w14:schemeClr w14:val="tx1"/>
            </w14:solidFill>
          </w14:textFill>
        </w:rPr>
        <w:tab/>
      </w:r>
      <w:r>
        <w:rPr>
          <w:rFonts w:hint="eastAsia" w:ascii="黑体" w:hAnsi="Cambria" w:eastAsia="黑体" w:cs="黑体"/>
          <w:b w:val="0"/>
          <w:bCs w:val="0"/>
          <w:color w:val="auto"/>
          <w:kern w:val="0"/>
          <w:sz w:val="32"/>
          <w:szCs w:val="32"/>
          <w:highlight w:val="none"/>
        </w:rPr>
        <w:t>一、部门职责</w:t>
      </w:r>
    </w:p>
    <w:p>
      <w:pPr>
        <w:pStyle w:val="9"/>
        <w:shd w:val="clear" w:color="auto" w:fill="FFFFFF"/>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9"/>
        <w:shd w:val="clear" w:color="auto" w:fill="FFFFFF"/>
        <w:adjustRightInd w:val="0"/>
        <w:snapToGrid w:val="0"/>
        <w:spacing w:before="0" w:beforeAutospacing="0" w:after="0" w:afterAutospacing="0" w:line="600" w:lineRule="exact"/>
        <w:ind w:firstLine="660"/>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pStyle w:val="9"/>
        <w:shd w:val="clear" w:color="auto" w:fill="FFFFFF"/>
        <w:adjustRightInd w:val="0"/>
        <w:snapToGrid w:val="0"/>
        <w:spacing w:before="0" w:beforeAutospacing="0" w:after="0" w:afterAutospacing="0" w:line="600" w:lineRule="exact"/>
        <w:ind w:firstLine="660"/>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pStyle w:val="9"/>
        <w:shd w:val="clear" w:color="auto" w:fill="FFFFFF"/>
        <w:adjustRightInd w:val="0"/>
        <w:snapToGrid w:val="0"/>
        <w:spacing w:before="0" w:beforeAutospacing="0" w:after="0" w:afterAutospacing="0" w:line="600" w:lineRule="exact"/>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　　（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9"/>
        <w:shd w:val="clear" w:color="auto" w:fill="FFFFFF"/>
        <w:adjustRightInd w:val="0"/>
        <w:snapToGrid w:val="0"/>
        <w:spacing w:before="0" w:beforeAutospacing="0" w:after="0" w:afterAutospacing="0" w:line="600" w:lineRule="exact"/>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　　（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9"/>
        <w:shd w:val="clear" w:color="auto" w:fill="FFFFFF"/>
        <w:adjustRightInd w:val="0"/>
        <w:snapToGrid w:val="0"/>
        <w:spacing w:before="0" w:beforeAutospacing="0" w:after="0" w:afterAutospacing="0" w:line="600" w:lineRule="exact"/>
        <w:ind w:firstLine="635"/>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负责县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9"/>
        <w:shd w:val="clear" w:color="auto" w:fill="FFFFFF"/>
        <w:adjustRightInd w:val="0"/>
        <w:snapToGrid w:val="0"/>
        <w:spacing w:before="0" w:beforeAutospacing="0" w:after="0" w:afterAutospacing="0" w:line="600" w:lineRule="exact"/>
        <w:ind w:firstLine="635"/>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七）负责建立健全国土空间用途管制制度，研究拟订城乡规划政策并监督实施。参与城市重大建设项目前期论证。负责土地等自然资源年度利用计划管理工作。负责土地等国土空间用途转用工作。负责土地征收征用管理。</w:t>
      </w:r>
    </w:p>
    <w:p>
      <w:pPr>
        <w:pStyle w:val="9"/>
        <w:shd w:val="clear" w:color="auto" w:fill="FFFFFF"/>
        <w:adjustRightInd w:val="0"/>
        <w:snapToGrid w:val="0"/>
        <w:spacing w:before="0" w:beforeAutospacing="0" w:after="0" w:afterAutospacing="0" w:line="600" w:lineRule="exact"/>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　　（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9"/>
        <w:shd w:val="clear" w:color="auto" w:fill="FFFFFF"/>
        <w:adjustRightInd w:val="0"/>
        <w:snapToGrid w:val="0"/>
        <w:spacing w:before="0" w:beforeAutospacing="0" w:after="0" w:afterAutospacing="0" w:line="600" w:lineRule="exact"/>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（十）负责管理全县地质勘查行业和地质工作。编制地质勘查规划并监督检查执行情况。管理县级地质勘查项目。组织实施重大地质矿产勘查专项。负责古生物化石的监督管理。</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（十三）负责全县测绘地理信息管理工作。负责基础测绘和测绘行业管理。负责测绘资质资格与信用管理，监督管理地理信息安全和市场秩序。负责地理信息公共服务管理。负责测量标志保护。</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（十四）负责组织全县造林绿化工作。指导公益林和商品林的培育，指导、监督全民义务植树、城乡绿化工作。指导林业有害生物防治、检疫工作。承担林业应对气候变化的相关工作。</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五）负责全县森林、草原、湿地资源的监督管理。组织编制并监督执行全县森林采伐限额。负责林地管理，拟订全县林地保护利用规划并组织实施，指导全县公益林划定和管理工作。监督管理草原的开发利用。拟订全县湿地保护规划和相关地方标准并组织实施，监督管理湿地的开发利用。</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（二十）拟订全县林业和草原资源优化配置及木材利用政策，拟订相关林业产业地方标准并监督实施，组织、指导林产品质量监督，指导生态扶贫相关工作。</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一）组织开展林木种子、草种种质资源普查，组织建立种质资源库，负责良种选育推广，管理林木种苗、草种生产经营行为，监管林木种苗、草种质量。监督管理林业和草原生物种质资源、转基因生物安全、植物新品种保护。</w:t>
      </w:r>
    </w:p>
    <w:p>
      <w:pPr>
        <w:pStyle w:val="9"/>
        <w:shd w:val="clear" w:color="auto" w:fill="FFFFFF"/>
        <w:adjustRightInd w:val="0"/>
        <w:snapToGrid w:val="0"/>
        <w:spacing w:beforeAutospacing="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（二十二）配合全县林业重大违法案件的查处，负责相关行政执法监管工作。</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三）负责落实全县综合防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（二十五）开展全县自然资源国际合作。组织开展自然资源领域对外交流合作。承担有关国际公约履约工作。</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（二十六）查处全县自然资源开发利用和国土空间规划及测绘重大违法案件。</w:t>
      </w:r>
    </w:p>
    <w:p>
      <w:pPr>
        <w:pStyle w:val="9"/>
        <w:shd w:val="clear" w:color="auto" w:fill="FFFFFF"/>
        <w:adjustRightInd w:val="0"/>
        <w:snapToGrid w:val="0"/>
        <w:spacing w:before="0" w:beforeAutospacing="0" w:after="0" w:afterAutospacing="0" w:line="600" w:lineRule="exact"/>
        <w:ind w:firstLine="629"/>
        <w:jc w:val="both"/>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（二十七）完成县委、县政府交办的其他任务。</w:t>
      </w:r>
    </w:p>
    <w:p>
      <w:pPr>
        <w:pStyle w:val="3"/>
        <w:spacing w:before="0" w:after="0" w:line="600" w:lineRule="exact"/>
        <w:jc w:val="left"/>
        <w:rPr>
          <w:rFonts w:hint="eastAsia" w:ascii="仿宋" w:hAnsi="仿宋" w:eastAsia="仿宋" w:cs="仿宋"/>
          <w:color w:val="auto"/>
          <w:kern w:val="2"/>
          <w:sz w:val="32"/>
          <w:szCs w:val="32"/>
          <w:highlight w:val="none"/>
          <w:shd w:val="clear" w:fill="FFFFFF"/>
          <w:lang w:val="en-US" w:eastAsia="zh-CN" w:bidi="ar-SA"/>
        </w:rPr>
      </w:pPr>
      <w:r>
        <w:rPr>
          <w:rFonts w:hint="eastAsia" w:ascii="仿宋" w:hAnsi="仿宋" w:eastAsia="仿宋" w:cs="仿宋"/>
          <w:color w:val="auto"/>
          <w:kern w:val="2"/>
          <w:sz w:val="32"/>
          <w:szCs w:val="32"/>
          <w:highlight w:val="none"/>
          <w:shd w:val="clear" w:fill="FFFFFF"/>
          <w:lang w:val="en-US" w:eastAsia="zh-CN" w:bidi="ar-SA"/>
        </w:rPr>
        <w:t>二、机构设置</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kern w:val="2"/>
          <w:sz w:val="32"/>
          <w:szCs w:val="32"/>
          <w:highlight w:val="none"/>
          <w:shd w:val="clear" w:fill="FFFFFF"/>
          <w:lang w:val="en-US" w:eastAsia="zh-CN" w:bidi="ar-SA"/>
        </w:rPr>
        <w:t>从决算编报单位构成看，</w:t>
      </w:r>
      <w:r>
        <w:rPr>
          <w:rFonts w:hint="eastAsia" w:ascii="仿宋" w:hAnsi="仿宋" w:eastAsia="仿宋" w:cs="仿宋"/>
          <w:color w:val="auto"/>
          <w:sz w:val="32"/>
          <w:szCs w:val="32"/>
          <w:highlight w:val="none"/>
          <w:shd w:val="clear" w:fill="FFFFFF"/>
          <w:lang w:val="en-US" w:eastAsia="zh-CN"/>
        </w:rPr>
        <w:t>纳入2019 年度本部门决算汇编范</w:t>
      </w:r>
    </w:p>
    <w:p>
      <w:pPr>
        <w:spacing w:line="584" w:lineRule="exact"/>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围的独立核算单位（以下简称“单位”）共1个，具体情况如下：</w:t>
      </w:r>
    </w:p>
    <w:p>
      <w:pPr>
        <w:pStyle w:val="2"/>
        <w:rPr>
          <w:rFonts w:hint="eastAsia" w:ascii="仿宋" w:hAnsi="仿宋" w:eastAsia="仿宋" w:cs="仿宋"/>
          <w:color w:val="auto"/>
          <w:sz w:val="32"/>
          <w:szCs w:val="32"/>
          <w:highlight w:val="none"/>
          <w:shd w:val="clear" w:fill="FFFFFF"/>
          <w:lang w:val="en-US" w:eastAsia="zh-CN"/>
        </w:rPr>
      </w:pPr>
    </w:p>
    <w:p>
      <w:pPr>
        <w:rPr>
          <w:rFonts w:hint="eastAsia"/>
          <w:lang w:val="en-US" w:eastAsia="zh-CN"/>
        </w:rPr>
      </w:pPr>
    </w:p>
    <w:tbl>
      <w:tblPr>
        <w:tblStyle w:val="10"/>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序号</w:t>
            </w:r>
          </w:p>
        </w:tc>
        <w:tc>
          <w:tcPr>
            <w:tcW w:w="348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单位名称</w:t>
            </w:r>
          </w:p>
        </w:tc>
        <w:tc>
          <w:tcPr>
            <w:tcW w:w="244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单位基本性质</w:t>
            </w:r>
          </w:p>
        </w:tc>
        <w:tc>
          <w:tcPr>
            <w:tcW w:w="266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1</w:t>
            </w:r>
          </w:p>
        </w:tc>
        <w:tc>
          <w:tcPr>
            <w:tcW w:w="348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大厂回族自治县自然资源和规划局</w:t>
            </w:r>
          </w:p>
        </w:tc>
        <w:tc>
          <w:tcPr>
            <w:tcW w:w="244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行政单位</w:t>
            </w:r>
          </w:p>
        </w:tc>
        <w:tc>
          <w:tcPr>
            <w:tcW w:w="2665" w:type="dxa"/>
            <w:vAlign w:val="center"/>
          </w:tcPr>
          <w:p>
            <w:pPr>
              <w:spacing w:line="584" w:lineRule="exact"/>
              <w:jc w:val="center"/>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财政拨款</w:t>
            </w:r>
          </w:p>
        </w:tc>
      </w:tr>
    </w:tbl>
    <w:p>
      <w:pPr>
        <w:widowControl/>
        <w:spacing w:line="560" w:lineRule="exact"/>
        <w:jc w:val="center"/>
        <w:rPr>
          <w:rFonts w:ascii="黑体" w:hAnsi="Cambria" w:eastAsia="黑体" w:cs="MS-UIGothic,Bold"/>
          <w:bCs/>
          <w:color w:val="auto"/>
          <w:kern w:val="0"/>
          <w:sz w:val="52"/>
          <w:szCs w:val="52"/>
          <w:highlight w:val="none"/>
        </w:rPr>
        <w:sectPr>
          <w:pgSz w:w="11906" w:h="16838"/>
          <w:pgMar w:top="2098" w:right="1474" w:bottom="1984" w:left="1588" w:header="851" w:footer="992" w:gutter="0"/>
          <w:cols w:space="720" w:num="1"/>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869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7936;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pStyle w:val="4"/>
        <w:spacing w:before="0" w:after="0" w:line="580" w:lineRule="exact"/>
        <w:ind w:firstLine="640" w:firstLineChars="200"/>
        <w:rPr>
          <w:rFonts w:ascii="黑体" w:eastAsia="黑体"/>
          <w:b w:val="0"/>
          <w:bCs w:val="0"/>
          <w:color w:val="auto"/>
          <w:highlight w:val="none"/>
        </w:rPr>
      </w:pPr>
      <w:r>
        <w:rPr>
          <w:rFonts w:hint="eastAsia" w:ascii="黑体" w:eastAsia="黑体"/>
          <w:b w:val="0"/>
          <w:bCs w:val="0"/>
          <w:color w:val="auto"/>
          <w:highlight w:val="none"/>
        </w:rPr>
        <w:t>一、收入</w:t>
      </w:r>
      <w:r>
        <w:rPr>
          <w:rFonts w:hint="eastAsia" w:ascii="黑体" w:hAnsi="Cambria" w:eastAsia="黑体" w:cs="黑体"/>
          <w:b w:val="0"/>
          <w:bCs w:val="0"/>
          <w:color w:val="auto"/>
          <w:kern w:val="0"/>
          <w:highlight w:val="none"/>
        </w:rPr>
        <w:t>支出</w:t>
      </w:r>
      <w:r>
        <w:rPr>
          <w:rFonts w:hint="eastAsia" w:ascii="黑体" w:eastAsia="黑体"/>
          <w:b w:val="0"/>
          <w:bCs w:val="0"/>
          <w:color w:val="auto"/>
          <w:highlight w:val="none"/>
        </w:rPr>
        <w:t>决算总体情况说明</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本部门2019年度收支总计（含结转和结余）15828.01万元。与2018年度决算无增减变化。</w:t>
      </w:r>
    </w:p>
    <w:p>
      <w:pPr>
        <w:pStyle w:val="4"/>
        <w:spacing w:before="0" w:after="0" w:line="580" w:lineRule="exact"/>
        <w:ind w:firstLine="640" w:firstLineChars="200"/>
        <w:rPr>
          <w:rFonts w:hint="eastAsia" w:ascii="黑体" w:eastAsia="黑体"/>
          <w:b w:val="0"/>
          <w:bCs w:val="0"/>
          <w:color w:val="auto"/>
          <w:highlight w:val="none"/>
          <w:lang w:val="en-US" w:eastAsia="zh-CN"/>
        </w:rPr>
      </w:pPr>
      <w:r>
        <w:rPr>
          <w:rFonts w:hint="eastAsia" w:ascii="黑体" w:eastAsia="黑体"/>
          <w:b w:val="0"/>
          <w:bCs w:val="0"/>
          <w:color w:val="auto"/>
          <w:highlight w:val="none"/>
          <w:lang w:val="en-US" w:eastAsia="zh-CN"/>
        </w:rPr>
        <w:t>二、收入决算情况说明</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本部门2019年度本年收入合计14741.61万元，其中：财政拨款收入14741.61万元，占100%；事业收入0万元，占0%；经营收入0万元，占0%；其他收入0万元，占0%。如图所示：</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图1：收入决算结构饼状图</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3" w:firstLineChars="200"/>
        <w:rPr>
          <w:rFonts w:hint="eastAsia" w:ascii="黑体" w:eastAsia="黑体"/>
          <w:b w:val="0"/>
          <w:bCs w:val="0"/>
          <w:color w:val="auto"/>
          <w:highlight w:val="none"/>
          <w:lang w:val="en-US" w:eastAsia="zh-CN"/>
        </w:rPr>
      </w:pPr>
      <w:r>
        <w:rPr>
          <w:rFonts w:hint="eastAsia" w:ascii="仿宋" w:hAnsi="仿宋" w:eastAsia="仿宋" w:cs="仿宋"/>
          <w:color w:val="auto"/>
          <w:sz w:val="32"/>
          <w:szCs w:val="32"/>
          <w:highlight w:val="none"/>
          <w:shd w:val="clear" w:fill="FFFFFF"/>
          <w:lang w:val="en-US" w:eastAsia="zh-CN"/>
        </w:rPr>
        <w:pict>
          <v:shape id="_x0000_s1026" o:spid="_x0000_s1026" o:spt="75" type="#_x0000_t75" style="position:absolute;left:0pt;margin-left:32pt;margin-top:-199.55pt;height:222.75pt;width:390.75pt;z-index:251697152;mso-width-relative:page;mso-height-relative:page;" o:ole="t" fillcolor="#FFFFFF" filled="t" o:preferrelative="t" stroked="f" coordsize="21600,21600">
            <v:path/>
            <v:fill on="t" focussize="0,0"/>
            <v:stroke on="f"/>
            <v:imagedata r:id="rId30" o:title=""/>
            <o:lock v:ext="edit" aspectratio="t"/>
          </v:shape>
          <o:OLEObject Type="Embed" ProgID="Excel.Chart.8" ShapeID="_x0000_s1026" DrawAspect="Content" ObjectID="_1468075725" r:id="rId29">
            <o:LockedField>false</o:LockedField>
          </o:OLEObject>
        </w:pict>
      </w:r>
    </w:p>
    <w:p>
      <w:pPr>
        <w:pStyle w:val="4"/>
        <w:spacing w:before="0" w:after="0" w:line="580" w:lineRule="exact"/>
        <w:ind w:firstLine="640" w:firstLineChars="200"/>
        <w:rPr>
          <w:rFonts w:hint="eastAsia" w:ascii="黑体" w:eastAsia="黑体"/>
          <w:b w:val="0"/>
          <w:bCs w:val="0"/>
          <w:color w:val="auto"/>
          <w:highlight w:val="none"/>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r>
        <w:rPr>
          <w:rFonts w:hint="eastAsia" w:ascii="黑体" w:eastAsia="黑体"/>
          <w:b w:val="0"/>
          <w:bCs w:val="0"/>
          <w:color w:val="auto"/>
          <w:highlight w:val="none"/>
          <w:lang w:val="en-US" w:eastAsia="zh-CN"/>
        </w:rPr>
        <w:t>三、支出决算情况说明</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本部门2019年度本年支出合计15688.12万元，其中：基本支出2009.17万元，占12.81%；项目支出13678.95万元，占87.19%；经营支出0万元，占0%。如图所示：</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图2：支出决算结构饼状图</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pict>
          <v:shape id="_x0000_s1027" o:spid="_x0000_s1027" o:spt="75" type="#_x0000_t75" style="position:absolute;left:0pt;margin-left:32.7pt;margin-top:20.95pt;height:246.95pt;width:406.45pt;mso-wrap-distance-bottom:0pt;mso-wrap-distance-left:9pt;mso-wrap-distance-right:9pt;mso-wrap-distance-top:0pt;z-index:251692032;mso-width-relative:page;mso-height-relative:page;" o:ole="t" filled="f" o:preferrelative="t" stroked="f" coordsize="21600,21600">
            <v:path/>
            <v:fill on="f" focussize="0,0"/>
            <v:stroke on="f"/>
            <v:imagedata r:id="rId32" o:title=""/>
            <o:lock v:ext="edit" aspectratio="t"/>
            <w10:wrap type="square"/>
          </v:shape>
          <o:OLEObject Type="Embed" ProgID="Excel.Chart.8" ShapeID="_x0000_s1027" DrawAspect="Content" ObjectID="_1468075726" r:id="rId31">
            <o:LockedField>false</o:LockedField>
          </o:OLEObject>
        </w:pic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pStyle w:val="4"/>
        <w:spacing w:before="0" w:after="0" w:line="580" w:lineRule="exact"/>
        <w:ind w:firstLine="640" w:firstLineChars="200"/>
        <w:rPr>
          <w:rFonts w:hint="eastAsia" w:ascii="黑体" w:eastAsia="黑体"/>
          <w:b w:val="0"/>
          <w:bCs w:val="0"/>
          <w:color w:val="auto"/>
          <w:highlight w:val="none"/>
          <w:lang w:val="en-US" w:eastAsia="zh-CN"/>
        </w:rPr>
      </w:pPr>
      <w:r>
        <w:rPr>
          <w:rFonts w:hint="eastAsia" w:ascii="黑体" w:eastAsia="黑体"/>
          <w:b w:val="0"/>
          <w:bCs w:val="0"/>
          <w:color w:val="auto"/>
          <w:highlight w:val="none"/>
          <w:lang w:val="en-US" w:eastAsia="zh-CN"/>
        </w:rPr>
        <w:t>四、财政拨款收入支出决算情况说明</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（一）财政拨款收支与2018 年度决算对比情况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本部门2019年度财政拨款本年收入14741.61万元,与2018年度决算无增减变化；本年支出15685.15万元，与2018年度决算无增减变化。</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其中：一般公共预算财政拨款本年收入3266.38万元，与2018年度决算无增减变化；本年支出4209.93万元，与2018年度决算无增减变化。政府性基金预算财政拨款本年收入11475.23万元，与2018年度决算无增减变化；本年支出11475.23万元，与2018年度决算无增减变化。</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图3：财政拨款收支情况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pict>
          <v:shape id="_x0000_s1028" o:spid="_x0000_s1028" o:spt="75" type="#_x0000_t75" style="position:absolute;left:0pt;margin-left:47pt;margin-top:249.75pt;height:222.75pt;width:366.75pt;mso-wrap-distance-bottom:0pt;mso-wrap-distance-left:9pt;mso-wrap-distance-right:9pt;mso-wrap-distance-top:0pt;z-index:251694080;mso-width-relative:page;mso-height-relative:page;" o:ole="t" filled="f" o:preferrelative="t" stroked="f" coordsize="21600,21600">
            <v:path/>
            <v:fill on="f" focussize="0,0"/>
            <v:stroke on="f"/>
            <v:imagedata r:id="rId34" o:title=""/>
            <o:lock v:ext="edit" aspectratio="t"/>
            <w10:wrap type="square"/>
          </v:shape>
          <o:OLEObject Type="Embed" ProgID="Excel.Chart.8" ShapeID="_x0000_s1028" DrawAspect="Content" ObjectID="_1468075727" r:id="rId33">
            <o:LockedField>false</o:LockedField>
          </o:OLEObject>
        </w:pict>
      </w:r>
      <w:r>
        <w:rPr>
          <w:rFonts w:hint="eastAsia" w:ascii="仿宋" w:hAnsi="仿宋" w:eastAsia="仿宋" w:cs="仿宋"/>
          <w:color w:val="auto"/>
          <w:sz w:val="32"/>
          <w:szCs w:val="32"/>
          <w:highlight w:val="none"/>
          <w:shd w:val="clear" w:fill="FFFFFF"/>
          <w:lang w:val="en-US" w:eastAsia="zh-CN"/>
        </w:rPr>
        <w:pict>
          <v:shape id="_x0000_s1029" o:spid="_x0000_s1029" o:spt="75" type="#_x0000_t75" style="position:absolute;left:0pt;margin-left:1.55pt;margin-top:19.9pt;height:215.8pt;width:464.25pt;mso-wrap-distance-bottom:0pt;mso-wrap-distance-left:9pt;mso-wrap-distance-right:9pt;mso-wrap-distance-top:0pt;z-index:251693056;mso-width-relative:page;mso-height-relative:page;" o:ole="t" fillcolor="#FFFFFF" filled="t" o:preferrelative="t" stroked="f" coordsize="21600,21600">
            <v:path/>
            <v:fill on="t" color2="#FFFFFF" focussize="0,0"/>
            <v:stroke on="f"/>
            <v:imagedata r:id="rId36" o:title=""/>
            <o:lock v:ext="edit" aspectratio="t"/>
            <w10:wrap type="square"/>
          </v:shape>
          <o:OLEObject Type="Embed" ProgID="Excel.Chart.8" ShapeID="_x0000_s1029" DrawAspect="Content" ObjectID="_1468075728" r:id="rId35">
            <o:LockedField>false</o:LockedField>
          </o:OLEObject>
        </w:pic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rPr>
          <w:rFonts w:hint="eastAsia" w:ascii="仿宋" w:hAnsi="仿宋" w:eastAsia="仿宋" w:cs="仿宋"/>
          <w:color w:val="auto"/>
          <w:sz w:val="32"/>
          <w:szCs w:val="32"/>
          <w:highlight w:val="none"/>
          <w:shd w:val="clear" w:fill="FFFFFF"/>
          <w:lang w:val="en-US" w:eastAsia="zh-CN"/>
        </w:rPr>
      </w:pP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（二）财政拨款收支与年初预算数对比情况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财政拨款本年收入14741.61万元，完成年初预算的100%,与年初预算无增减变化，与2018年度决算数无增减变化；本年支出15685.15万元，完成年初预算的100%,与年初预算无增减变化，与2018年度决算数无增减变化。</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pict>
          <v:shape id="_x0000_s1030" o:spid="_x0000_s1030" o:spt="75" type="#_x0000_t75" style="position:absolute;left:0pt;margin-left:22.25pt;margin-top:221.25pt;height:222.75pt;width:373.15pt;mso-wrap-distance-bottom:0pt;mso-wrap-distance-left:9pt;mso-wrap-distance-right:9pt;mso-wrap-distance-top:0pt;z-index:251695104;mso-width-relative:page;mso-height-relative:page;" o:ole="t" filled="f" o:preferrelative="t" stroked="f" coordsize="21600,21600">
            <v:path/>
            <v:fill on="f" focussize="0,0"/>
            <v:stroke on="f"/>
            <v:imagedata r:id="rId38" o:title=""/>
            <o:lock v:ext="edit" aspectratio="t"/>
            <w10:wrap type="square"/>
          </v:shape>
          <o:OLEObject Type="Embed" ProgID="Excel.Chart.8" ShapeID="_x0000_s1030" DrawAspect="Content" ObjectID="_1468075729" r:id="rId37">
            <o:LockedField>false</o:LockedField>
          </o:OLEObject>
        </w:pict>
      </w:r>
      <w:r>
        <w:rPr>
          <w:rFonts w:hint="eastAsia" w:ascii="仿宋" w:hAnsi="仿宋" w:eastAsia="仿宋" w:cs="仿宋"/>
          <w:color w:val="auto"/>
          <w:sz w:val="32"/>
          <w:szCs w:val="32"/>
          <w:highlight w:val="none"/>
          <w:shd w:val="clear" w:fill="FFFFFF"/>
          <w:lang w:val="en-US" w:eastAsia="zh-CN"/>
        </w:rPr>
        <w:t>其中，一般公共预算财政拨款本年收入完成年初预算的100%,与年初预算无增减变化，与2018年度决算数无增减变化；支出完成年初预算的100%,与年初预算无增减变化，与2018年度决算数无增减变化。政府性基金预算财政拨款本年收入完成年初预算的100%,与年初预算无增减变化，与2018年度决算数无增减变化；支出完成年初预算的100%,与年初预算无增减变化，与2018年度决算数无增减变化。</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图4：财政拨款收支预决算对比情况</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（三）财政拨款支出决算结构情况。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2019 年度财政拨款支出15685.15万元，主要用于以下方面社会保障和就业（类）支出95.22万元，占0.61%；卫生健康（类）支出39.18万元，占0.25%；城乡社区（类）支出12446.08万元，占79.35%；农林水（类）支出362.86万元，占2.31%；自然资源海洋气象（类）支出2675.68万元，占17.05%；住房保障（类）支出65.71万元，占0.42%;灾害防治及应急管理（类）支出0.96万元，占0.01%。</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pict>
          <v:shape id="_x0000_s1031" o:spid="_x0000_s1031" o:spt="75" type="#_x0000_t75" style="position:absolute;left:0pt;margin-left:15pt;margin-top:48.5pt;height:285pt;width:437.2pt;mso-wrap-distance-bottom:0pt;mso-wrap-distance-left:9pt;mso-wrap-distance-right:9pt;mso-wrap-distance-top:0pt;z-index:251696128;mso-width-relative:page;mso-height-relative:page;" o:ole="t" filled="f" o:preferrelative="t" stroked="f" coordsize="21600,21600">
            <v:path/>
            <v:fill on="f" focussize="0,0"/>
            <v:stroke on="f"/>
            <v:imagedata r:id="rId40" o:title=""/>
            <o:lock v:ext="edit" aspectratio="t"/>
            <w10:wrap type="square"/>
          </v:shape>
          <o:OLEObject Type="Embed" ProgID="Excel.Chart.8" ShapeID="_x0000_s1031" DrawAspect="Content" ObjectID="_1468075730" r:id="rId39">
            <o:LockedField>false</o:LockedField>
          </o:OLEObject>
        </w:pict>
      </w:r>
      <w:r>
        <w:rPr>
          <w:rFonts w:hint="eastAsia" w:ascii="仿宋" w:hAnsi="仿宋" w:eastAsia="仿宋" w:cs="仿宋"/>
          <w:color w:val="auto"/>
          <w:sz w:val="32"/>
          <w:szCs w:val="32"/>
          <w:highlight w:val="none"/>
          <w:shd w:val="clear" w:fill="FFFFFF"/>
          <w:lang w:val="en-US" w:eastAsia="zh-CN"/>
        </w:rPr>
        <w:t>图5：财政拨款支出决算结构（按功能分类）</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（四）一般公共预算财政拨款基本支出决算情况说明</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2019 年度一般公共预算财政拨款基本支出2009.17万元，其中：人员经费 1842.71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166.46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after="0" w:line="580" w:lineRule="exact"/>
        <w:ind w:firstLine="643" w:firstLineChars="200"/>
        <w:outlineLvl w:val="1"/>
        <w:rPr>
          <w:rFonts w:hint="eastAsia" w:ascii="黑体" w:hAnsi="黑体" w:eastAsia="黑体" w:cs="黑体"/>
          <w:b/>
          <w:bCs/>
          <w:color w:val="auto"/>
          <w:sz w:val="32"/>
          <w:szCs w:val="32"/>
          <w:highlight w:val="none"/>
          <w:shd w:val="clear" w:fill="FFFFFF"/>
          <w:lang w:val="en-US" w:eastAsia="zh-CN"/>
        </w:rPr>
      </w:pPr>
      <w:r>
        <w:rPr>
          <w:rFonts w:hint="eastAsia" w:ascii="黑体" w:hAnsi="黑体" w:eastAsia="黑体" w:cs="黑体"/>
          <w:b/>
          <w:bCs/>
          <w:color w:val="auto"/>
          <w:sz w:val="32"/>
          <w:szCs w:val="32"/>
          <w:highlight w:val="none"/>
          <w:shd w:val="clear" w:fill="FFFFFF"/>
          <w:lang w:val="en-US" w:eastAsia="zh-CN"/>
        </w:rPr>
        <w:t>五、一般公共预算财政拨款“三公” 经费支出决算情况说明</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本部门2019年度一般公共预算财政拨款“三公”经费支出共计19.58万元，较年初预算无增减变化；较2018年度决算无增减变化。具体情况如下：</w:t>
      </w:r>
    </w:p>
    <w:p>
      <w:pPr>
        <w:spacing w:line="584" w:lineRule="exact"/>
        <w:ind w:firstLine="643" w:firstLineChars="200"/>
        <w:rPr>
          <w:rFonts w:hint="default" w:ascii="仿宋" w:hAnsi="仿宋" w:eastAsia="仿宋" w:cs="仿宋"/>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（一）因公出国（境）费支出0万元。</w:t>
      </w:r>
      <w:r>
        <w:rPr>
          <w:rFonts w:hint="eastAsia" w:ascii="仿宋" w:hAnsi="仿宋" w:eastAsia="仿宋" w:cs="仿宋"/>
          <w:color w:val="auto"/>
          <w:sz w:val="32"/>
          <w:szCs w:val="32"/>
          <w:highlight w:val="none"/>
          <w:shd w:val="clear" w:fill="FFFFFF"/>
          <w:lang w:val="en-US" w:eastAsia="zh-CN"/>
        </w:rPr>
        <w:t>我部门未发生“公因公出国（境）费”经费支出，较年初预算无增减变化，较2018年度决算无增减变化。</w:t>
      </w:r>
    </w:p>
    <w:p>
      <w:pPr>
        <w:spacing w:line="584" w:lineRule="exact"/>
        <w:ind w:firstLine="643"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（二）公务用车购置及运行维护费支出13.93万元。</w:t>
      </w:r>
      <w:r>
        <w:rPr>
          <w:rFonts w:hint="eastAsia" w:ascii="仿宋" w:hAnsi="仿宋" w:eastAsia="仿宋" w:cs="仿宋"/>
          <w:color w:val="auto"/>
          <w:sz w:val="32"/>
          <w:szCs w:val="32"/>
          <w:highlight w:val="none"/>
          <w:shd w:val="clear" w:fill="FFFFFF"/>
          <w:lang w:val="en-US" w:eastAsia="zh-CN"/>
        </w:rPr>
        <w:t>本部门2019年度公务用车购置及运行维护费较年初预算无增减变化；较2018年度决算无增减变化。其中：</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公务用车购置费支出0万元。本部门2019年度未发生“公务用车购置”经费支出。公务用车购置费支出较年初预算无增减变化，较2018年度决算无增减变化。</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公务用车运行维护费支出13.93万元。本部门2019年末单位公务用车保有量8辆。公车运行维护费支出较年初预算无增减变化；较2018年度决算无增减变化。</w:t>
      </w:r>
    </w:p>
    <w:p>
      <w:pPr>
        <w:spacing w:line="584" w:lineRule="exact"/>
        <w:ind w:firstLine="643"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（三）公务接待费支出5.65万元。</w:t>
      </w:r>
      <w:r>
        <w:rPr>
          <w:rFonts w:hint="eastAsia" w:ascii="仿宋" w:hAnsi="仿宋" w:eastAsia="仿宋" w:cs="仿宋"/>
          <w:color w:val="auto"/>
          <w:sz w:val="32"/>
          <w:szCs w:val="32"/>
          <w:highlight w:val="none"/>
          <w:shd w:val="clear" w:fill="FFFFFF"/>
          <w:lang w:val="en-US" w:eastAsia="zh-CN"/>
        </w:rPr>
        <w:t>本部门2019年度公务接待共11批次、299人次。公务接待费支出与年初预算无增减变化；与2018年度决算无增减变化。</w:t>
      </w:r>
    </w:p>
    <w:p>
      <w:pPr>
        <w:keepNext/>
        <w:keepLines/>
        <w:snapToGrid w:val="0"/>
        <w:spacing w:after="0" w:line="580" w:lineRule="exact"/>
        <w:ind w:firstLine="643" w:firstLineChars="200"/>
        <w:outlineLvl w:val="1"/>
        <w:rPr>
          <w:rFonts w:hint="eastAsia" w:ascii="黑体" w:hAnsi="黑体" w:eastAsia="黑体" w:cs="黑体"/>
          <w:b/>
          <w:bCs/>
          <w:color w:val="auto"/>
          <w:sz w:val="32"/>
          <w:szCs w:val="32"/>
          <w:highlight w:val="none"/>
          <w:shd w:val="clear" w:fill="FFFFFF"/>
          <w:lang w:val="en-US" w:eastAsia="zh-CN"/>
        </w:rPr>
      </w:pPr>
      <w:r>
        <w:rPr>
          <w:rFonts w:hint="eastAsia" w:ascii="黑体" w:hAnsi="黑体" w:eastAsia="黑体" w:cs="黑体"/>
          <w:b/>
          <w:bCs/>
          <w:color w:val="auto"/>
          <w:sz w:val="32"/>
          <w:szCs w:val="32"/>
          <w:highlight w:val="none"/>
          <w:shd w:val="clear" w:fill="FFFFFF"/>
          <w:lang w:val="en-US" w:eastAsia="zh-CN"/>
        </w:rPr>
        <w:t>六、其他重要事项的说明</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（一）机关运行经费情况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本部门2019年度机关运行经费支出166.46万元，完成年初预算的100%,与年初预算无增减变化，与2018年度决算数无增减变化。</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（二）政府采购情况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本部门2019年度政府采购支出总额,1218.06万元，从采购类型来看，政府采购货物支出557.63万元、政府采购工程支出0万元、政府采购服务支出640.43万元。授予中小企业合同金0万元，占政府采购支出总额的0%，其中授予小微企业合同金额0万元，占政府采购支出总额的0%。</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（三）国有资产占用情况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截至2019年12月31日，本部门共有车辆8辆，比上年增加5辆，主要是</w:t>
      </w:r>
      <w:bookmarkStart w:id="0" w:name="_GoBack"/>
      <w:bookmarkEnd w:id="0"/>
      <w:r>
        <w:rPr>
          <w:rFonts w:hint="eastAsia" w:ascii="仿宋" w:hAnsi="仿宋" w:eastAsia="仿宋" w:cs="仿宋"/>
          <w:color w:val="auto"/>
          <w:sz w:val="32"/>
          <w:szCs w:val="32"/>
          <w:highlight w:val="none"/>
          <w:shd w:val="clear" w:fill="FFFFFF"/>
          <w:lang w:val="en-US" w:eastAsia="zh-CN"/>
        </w:rPr>
        <w:t>机构改革，多部门合并，公务用车调拨数量增加。其中，副部（省）级及以上领导用车0辆，主要领导干部用车0辆，机要通信用车2辆，应急保障用车0辆，执法执勤用车6辆，特种专业技术用车0辆，离退休干部用车0辆，其他用车0辆；单位价值50万元以上通用设备0台（套），与2018年度无增减变化，单位价值100万元以上专用设备0台（套），与2018年度无增减变化。</w:t>
      </w:r>
    </w:p>
    <w:p>
      <w:pPr>
        <w:spacing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（四）其他需要说明的情况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1、本部门2019年度国有资本经营预算财政拨款无收支及结转结余情况，故国有资本经营预算财政拨款支出决算表以空表列示。</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2、由于决算公开表格中金额数值应当保留两位小数，公开数据为四舍五入计算结果，个别数据合计项与分项之和存在小数点后差额，特此说明。</w:t>
      </w:r>
    </w:p>
    <w:p>
      <w:pPr>
        <w:spacing w:line="584" w:lineRule="exact"/>
        <w:ind w:firstLine="640" w:firstLineChars="200"/>
        <w:rPr>
          <w:rFonts w:hint="default"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3、由于我单位是新成立部门，各项财政指标均为机构划转而来，无以前年度决算数据，无法进行对比。2019年预算数据均为调整预算，无年初预算。</w:t>
      </w:r>
    </w:p>
    <w:p>
      <w:pPr>
        <w:rPr>
          <w:rFonts w:ascii="宋体" w:hAnsi="宋体" w:cs="ArialUnicodeMS"/>
          <w:color w:val="auto"/>
          <w:kern w:val="0"/>
          <w:highlight w:val="none"/>
        </w:rPr>
        <w:sectPr>
          <w:type w:val="continuous"/>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auto"/>
          <w:sz w:val="96"/>
          <w:szCs w:val="96"/>
          <w:highlight w:val="none"/>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896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8"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（一）财政拨款收入：本年度从本级财政部门取得的财政拨款，包括一般公共预算财政拨款和政府性基金预算财政拨款。</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（二）事业收入：指事业单位开展专业业务活动及辅助活动所取得的收入。</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（三）其他收入：指除上述“财政拨款收入”“事业收入”“经营收入”等以外的收入。</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（五）年初结转和结余：指以前年度尚未完成、结转到本年仍按原规定用途继续使用的资金，或项目已完成等产生的结余资金。</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（六）结余分配：指事业单位按照事业单位会计制度的规定从非财政补助结余中分配的事业基金和职工福利基金等。</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（七）年末结转和结余：指单位按有关规定结转到下年或以后年度继续使用的资金，或项目已完成等产生的结余资金。</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（八）基本支出：填列单位为保障机构正常运转、完成日常工作任务而发生的各项支出。</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（九）项目支出：填列单位为完成特定的行政工作任务或事业发展目标，在基本支出之外发生的各项支出</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（十三）其他交通费用：填列单位除公务用车运行维护费以外的其他交通费用。如公务交通补贴、租车费用、出租车费用，飞机、船舶等燃料费、维修费、保险费等。</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（十四）公务用车购置：填列单位公务用车车辆购置支出（含车辆购置税、牌照费）。</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（十五）其他交通工具购置：填列单位除公务用车外的其他各类交通工具（如船舶、飞机等）购置支出（含车辆购置税、牌照费）。</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（十七）经费形式:按照经费来源，可分为财政拨款、财政性资金基本保证、财政性资金定额或定项补助、财政性资金零补助四类。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9"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89984;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tbl>
      <w:tblPr>
        <w:tblStyle w:val="10"/>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ind w:firstLine="2800" w:firstLineChars="700"/>
              <w:jc w:val="both"/>
              <w:textAlignment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336"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43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56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336"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43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14741.61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14741.61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15688.12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1086.4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ab/>
            </w:r>
            <w:r>
              <w:rPr>
                <w:rFonts w:hint="eastAsia" w:ascii="宋体" w:hAnsi="宋体" w:eastAsia="宋体" w:cs="宋体"/>
                <w:i w:val="0"/>
                <w:color w:val="auto"/>
                <w:kern w:val="0"/>
                <w:sz w:val="20"/>
                <w:szCs w:val="20"/>
                <w:highlight w:val="none"/>
                <w:u w:val="none"/>
                <w:lang w:val="en-US" w:eastAsia="zh-CN" w:bidi="ar"/>
              </w:rPr>
              <w:t>15828.01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注：本表反映部门本年度的总收支和年末结转结余情况。</w:t>
            </w:r>
          </w:p>
        </w:tc>
      </w:tr>
    </w:tbl>
    <w:p>
      <w:pPr>
        <w:jc w:val="left"/>
        <w:rPr>
          <w:color w:val="000000" w:themeColor="text1"/>
          <w14:textFill>
            <w14:solidFill>
              <w14:schemeClr w14:val="tx1"/>
            </w14:solidFill>
          </w14:textFill>
        </w:rPr>
      </w:pPr>
    </w:p>
    <w:tbl>
      <w:tblPr>
        <w:tblStyle w:val="10"/>
        <w:tblW w:w="94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396"/>
        <w:gridCol w:w="1636"/>
        <w:gridCol w:w="427"/>
        <w:gridCol w:w="106"/>
        <w:gridCol w:w="154"/>
        <w:gridCol w:w="106"/>
        <w:gridCol w:w="460"/>
        <w:gridCol w:w="249"/>
        <w:gridCol w:w="106"/>
        <w:gridCol w:w="710"/>
        <w:gridCol w:w="106"/>
        <w:gridCol w:w="709"/>
        <w:gridCol w:w="106"/>
        <w:gridCol w:w="709"/>
        <w:gridCol w:w="106"/>
        <w:gridCol w:w="105"/>
        <w:gridCol w:w="921"/>
        <w:gridCol w:w="920"/>
        <w:gridCol w:w="342"/>
        <w:gridCol w:w="106"/>
        <w:gridCol w:w="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4" w:type="dxa"/>
          <w:trHeight w:val="664" w:hRule="atLeast"/>
          <w:jc w:val="center"/>
        </w:trPr>
        <w:tc>
          <w:tcPr>
            <w:tcW w:w="8888" w:type="dxa"/>
            <w:gridSpan w:val="21"/>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8" w:type="dxa"/>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96"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36"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33"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3"/>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6"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394"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4" w:type="dxa"/>
          <w:trHeight w:val="362" w:hRule="atLeast"/>
          <w:jc w:val="center"/>
        </w:trPr>
        <w:tc>
          <w:tcPr>
            <w:tcW w:w="2973"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2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3"/>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6"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1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394"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546"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1253" w:type="dxa"/>
            <w:gridSpan w:val="5"/>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本年收入合计</w:t>
            </w:r>
          </w:p>
        </w:tc>
        <w:tc>
          <w:tcPr>
            <w:tcW w:w="1065" w:type="dxa"/>
            <w:gridSpan w:val="3"/>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财政拨款收入</w:t>
            </w:r>
          </w:p>
        </w:tc>
        <w:tc>
          <w:tcPr>
            <w:tcW w:w="921" w:type="dxa"/>
            <w:gridSpan w:val="3"/>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上级补助收入</w:t>
            </w:r>
          </w:p>
        </w:tc>
        <w:tc>
          <w:tcPr>
            <w:tcW w:w="920" w:type="dxa"/>
            <w:gridSpan w:val="3"/>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事业收入</w:t>
            </w:r>
          </w:p>
        </w:tc>
        <w:tc>
          <w:tcPr>
            <w:tcW w:w="921"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经营收入</w:t>
            </w:r>
          </w:p>
        </w:tc>
        <w:tc>
          <w:tcPr>
            <w:tcW w:w="92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附属单位上缴收入</w:t>
            </w:r>
          </w:p>
        </w:tc>
        <w:tc>
          <w:tcPr>
            <w:tcW w:w="926"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功能分类科目编码</w:t>
            </w:r>
          </w:p>
        </w:tc>
        <w:tc>
          <w:tcPr>
            <w:tcW w:w="1636" w:type="dxa"/>
            <w:tcBorders>
              <w:top w:val="nil"/>
              <w:left w:val="nil"/>
              <w:bottom w:val="single" w:color="000000" w:sz="4" w:space="0"/>
              <w:right w:val="single" w:color="auto"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1253" w:type="dxa"/>
            <w:gridSpan w:val="5"/>
            <w:tcBorders>
              <w:top w:val="single" w:color="auto" w:sz="4" w:space="0"/>
              <w:left w:val="single" w:color="auto"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65" w:type="dxa"/>
            <w:gridSpan w:val="3"/>
            <w:tcBorders>
              <w:top w:val="single" w:color="auto"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gridSpan w:val="3"/>
            <w:tcBorders>
              <w:top w:val="single" w:color="auto"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single" w:color="auto"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single" w:color="auto"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single" w:color="auto"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single" w:color="auto" w:sz="4" w:space="0"/>
              <w:left w:val="nil"/>
              <w:right w:val="single" w:color="auto"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54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1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0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9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c>
          <w:tcPr>
            <w:tcW w:w="9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54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253"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14,741.61</w:t>
            </w:r>
          </w:p>
        </w:tc>
        <w:tc>
          <w:tcPr>
            <w:tcW w:w="106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14,741.61</w:t>
            </w:r>
          </w:p>
        </w:tc>
        <w:tc>
          <w:tcPr>
            <w:tcW w:w="92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行政事业单位离退休</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2080505</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机关事业单位基本养老保险缴费支出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医疗卫生与计划生育支出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行政单位医疗</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事业单位医疗</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11,893.55</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11,893.55</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乡社区管理事务</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307.19</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307.19</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307.19</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307.19</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21208</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国有土地使用权出让收入及对应专项债务收入安排的支出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2120899</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其他国有土地使用权出让收入安排的支出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21210</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国有土地收益基金及对应专项债务收入安排的支出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2121001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征地和拆迁补偿支出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农林水支出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132.80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132.80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林业和草原</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132.80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132.80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2130207</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森林资源管理</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2130211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动植物保护</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2130234</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防灾减灾</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108.57</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108.57</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2130237</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行业业务管理</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自然资源海洋气象等支出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2,514.72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2,514.72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自然资源事务</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2,514.72</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2,514.72</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1,586.30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1,586.30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2200104</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国土资源规划及管理</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10.00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2200105</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土地资源调查</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81.78</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81.78</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2200106</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土地资源利用与保护</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397.28</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397.28</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2200109</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国土资源调查</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2200110</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国土整治</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93.00</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93.00</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住房保障支出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住房改革支出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住房公积金</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灾害防治及应急管理支出</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应急管理事务</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9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2240101</w:t>
            </w:r>
          </w:p>
        </w:tc>
        <w:tc>
          <w:tcPr>
            <w:tcW w:w="163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25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4" w:type="dxa"/>
          <w:trHeight w:val="481" w:hRule="atLeast"/>
          <w:jc w:val="center"/>
        </w:trPr>
        <w:tc>
          <w:tcPr>
            <w:tcW w:w="8888" w:type="dxa"/>
            <w:gridSpan w:val="2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84" w:type="dxa"/>
          <w:trHeight w:val="481" w:hRule="atLeast"/>
          <w:jc w:val="center"/>
        </w:trPr>
        <w:tc>
          <w:tcPr>
            <w:tcW w:w="8888" w:type="dxa"/>
            <w:gridSpan w:val="2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bl>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sectPr>
          <w:pgSz w:w="11906" w:h="16838"/>
          <w:pgMar w:top="2098" w:right="1474" w:bottom="1984" w:left="1588" w:header="851" w:footer="992" w:gutter="0"/>
          <w:cols w:space="720" w:num="1"/>
          <w:docGrid w:type="lines" w:linePitch="312" w:charSpace="0"/>
        </w:sectPr>
      </w:pPr>
    </w:p>
    <w:tbl>
      <w:tblPr>
        <w:tblStyle w:val="10"/>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599"/>
        <w:gridCol w:w="1321"/>
        <w:gridCol w:w="647"/>
        <w:gridCol w:w="436"/>
        <w:gridCol w:w="682"/>
        <w:gridCol w:w="402"/>
        <w:gridCol w:w="718"/>
        <w:gridCol w:w="365"/>
        <w:gridCol w:w="753"/>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8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9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32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64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1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2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1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2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37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111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2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1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498" w:type="dxa"/>
            <w:gridSpan w:val="4"/>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功能分类科目编码</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15,688.12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2,009.17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13,678.95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行政事业单位离退休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2080505</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机关事业单位基本养老保险缴费支出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医疗卫生与计划生育支出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12,446.08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381.61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12,064.47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乡社区管理事务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859.72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270.48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589.24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859.72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270.48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589.24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21208</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2120899</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其他国有土地使用权出让收入安排的支出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21210</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国有土地收益基金及对应专项债务收入安排的支出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2121001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征地和拆迁补偿支出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11,380.21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农林水支出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林业和草原</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365.82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2130205</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森林培育</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189.14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189.14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2130207</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森林资源管理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2130211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动植物保护</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2130234</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防灾减灾</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2130237</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行业业务管理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自然资源海洋气象等支出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1,248.66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1,248.66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1,602.38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175.35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2200104</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国土资源规划及管理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2200105</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土地资源调查</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145.79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145.79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2200106</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土地资源利用与保护</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437.13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437.13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2200109</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国土资源调查</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2200112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国土整治</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14.03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14.03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住房保障支出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住房改革支出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住房公积金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灾害防治及应急管理支出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应急管理事务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17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2240101</w:t>
            </w:r>
          </w:p>
        </w:tc>
        <w:tc>
          <w:tcPr>
            <w:tcW w:w="132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注：本表反映部门本年度各项支出情况。</w:t>
            </w:r>
          </w:p>
        </w:tc>
      </w:tr>
    </w:tbl>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sectPr>
          <w:pgSz w:w="11906" w:h="16838"/>
          <w:pgMar w:top="2098" w:right="1474" w:bottom="1984" w:left="1588" w:header="851" w:footer="992" w:gutter="0"/>
          <w:cols w:space="720" w:num="1"/>
          <w:docGrid w:type="lines" w:linePitch="312" w:charSpace="0"/>
        </w:sectPr>
      </w:pPr>
    </w:p>
    <w:tbl>
      <w:tblPr>
        <w:tblStyle w:val="10"/>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631"/>
        <w:gridCol w:w="375"/>
        <w:gridCol w:w="795"/>
        <w:gridCol w:w="2243"/>
        <w:gridCol w:w="322"/>
        <w:gridCol w:w="330"/>
        <w:gridCol w:w="549"/>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63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03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65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4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2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53"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413" w:type="dxa"/>
            <w:gridSpan w:val="7"/>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54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78" w:type="dxa"/>
            <w:gridSpan w:val="4"/>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收     入</w:t>
            </w:r>
          </w:p>
        </w:tc>
        <w:tc>
          <w:tcPr>
            <w:tcW w:w="6217"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行次</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行次</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一、一般公共预算财政拨款</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3266.38</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一、一般公共服务支出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29</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二、政府性基金预算财政拨款</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二、外交支出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三、国防支出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四、公共安全支出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五、教育支出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33</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六、科学技术支出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34</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七、文化体育与传媒支出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35</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八、社会保障和就业支出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九、医疗卫生与计划生育支出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37</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十、节能环保支出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十一、城乡社区支出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12446.08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970.85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十二、农林水支出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40</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十三、交通运输支出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41</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十四、资源勘探信息等支出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十五、商业服务业等支出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十六、金融支出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十七、援助其他地区支出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45</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十八、自然资源海洋气象等支出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46</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十九、住房保障支出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47</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二十、粮油物资储备支出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48</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二十一、灾害防治及应急管理支出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49</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二十二、其他支出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50</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23</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二十四、债务付息支出</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51</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本年收入合计</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24</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14741.61</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本年支出合计</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52</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15685.15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4209.93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年初财政拨款结转和结余</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1083.05</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年末财政拨款结转和结余</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53</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一般公共预算财政拨款</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1083.05</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54</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政府性基金预算财政拨款</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55</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34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总计</w:t>
            </w:r>
          </w:p>
        </w:tc>
        <w:tc>
          <w:tcPr>
            <w:tcW w:w="37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28</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15824.66</w:t>
            </w:r>
          </w:p>
        </w:tc>
        <w:tc>
          <w:tcPr>
            <w:tcW w:w="256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总计</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56</w:t>
            </w:r>
          </w:p>
        </w:tc>
        <w:tc>
          <w:tcPr>
            <w:tcW w:w="7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15824.66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4349.43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color w:val="auto"/>
          <w:sz w:val="28"/>
          <w:szCs w:val="28"/>
          <w:highlight w:val="none"/>
        </w:rPr>
        <w:sectPr>
          <w:pgSz w:w="11906" w:h="16838"/>
          <w:pgMar w:top="2098" w:right="1474" w:bottom="1984" w:left="1588" w:header="851" w:footer="992" w:gutter="0"/>
          <w:cols w:space="720" w:num="1"/>
          <w:docGrid w:type="lines" w:linePitch="312" w:charSpace="0"/>
        </w:sectPr>
      </w:pPr>
    </w:p>
    <w:tbl>
      <w:tblPr>
        <w:tblStyle w:val="10"/>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1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5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10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745"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121"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189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121"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4,209.93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2,009.17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95.22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医疗卫生与计划生育支出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39.18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31.67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2101102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970.85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381.61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乡社区管理事务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111.13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859.72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270.48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2120201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城乡社区规划与管理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859.72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270.48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农林水支出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林业和草原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森林培育</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189.14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森林资源管理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动植物保护</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防灾减灾</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144.99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2130237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行业业务管理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自然资源海洋气象等支出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自然资源事务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2,675.68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1,248.66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1,602.38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1,427.02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一般行政管理事务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国土资源规划及管理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土地资源调查</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145.79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土地资源利用与保护</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437.13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437.13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2200109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国土资源调查</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2200112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土地资源储备支出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14.03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灾害防治及应急管理支出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应急管理事务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2240101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注：本表反映部门本年度一般公共预算财政拨款收入及支出情况。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bl>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sectPr>
          <w:pgSz w:w="11906" w:h="16838"/>
          <w:pgMar w:top="2098" w:right="1474" w:bottom="1984" w:left="1588" w:header="851" w:footer="992" w:gutter="0"/>
          <w:cols w:space="720" w:num="1"/>
          <w:docGrid w:type="lines" w:linePitch="312" w:charSpace="0"/>
        </w:sectPr>
      </w:pPr>
    </w:p>
    <w:tbl>
      <w:tblPr>
        <w:tblStyle w:val="10"/>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9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63"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7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64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7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64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1,645.41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166.46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470.62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32.33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87.75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0.90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20.54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105.54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1.48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126.89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8.06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42.09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7.94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8.25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3.71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2.62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6.17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65.17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1.56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758.34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197.30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0.47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0.01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0.69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8.25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196.07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10.62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0.15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25.18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2.78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1842.71</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166.46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color w:val="auto"/>
          <w:sz w:val="28"/>
          <w:szCs w:val="28"/>
          <w:highlight w:val="none"/>
        </w:rPr>
        <w:sectPr>
          <w:pgSz w:w="11906" w:h="16838"/>
          <w:pgMar w:top="2098" w:right="1474" w:bottom="1984" w:left="1588" w:header="851" w:footer="992" w:gutter="0"/>
          <w:cols w:space="720" w:num="1"/>
          <w:docGrid w:type="lines" w:linePitch="312" w:charSpace="0"/>
        </w:sectPr>
      </w:pPr>
    </w:p>
    <w:tbl>
      <w:tblPr>
        <w:tblStyle w:val="10"/>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3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3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1527"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19.58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13.93</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19.58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13.93</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color w:val="auto"/>
          <w:sz w:val="28"/>
          <w:szCs w:val="28"/>
          <w:highlight w:val="none"/>
        </w:rPr>
        <w:sectPr>
          <w:pgSz w:w="11906" w:h="16838"/>
          <w:pgMar w:top="2098" w:right="1474" w:bottom="1984" w:left="1588" w:header="851" w:footer="992" w:gutter="0"/>
          <w:cols w:space="720" w:num="1"/>
          <w:docGrid w:type="lines" w:linePitch="312" w:charSpace="0"/>
        </w:sectPr>
      </w:pPr>
    </w:p>
    <w:tbl>
      <w:tblPr>
        <w:tblStyle w:val="10"/>
        <w:tblW w:w="8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188"/>
        <w:gridCol w:w="310"/>
        <w:gridCol w:w="891"/>
        <w:gridCol w:w="552"/>
        <w:gridCol w:w="960"/>
        <w:gridCol w:w="1001"/>
        <w:gridCol w:w="991"/>
        <w:gridCol w:w="1169"/>
        <w:gridCol w:w="1169"/>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765"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auto"/>
                <w:sz w:val="36"/>
                <w:szCs w:val="36"/>
                <w:highlight w:val="none"/>
              </w:rPr>
            </w:pPr>
            <w:r>
              <w:rPr>
                <w:rFonts w:hint="eastAsia" w:ascii="黑体" w:hAnsi="宋体" w:eastAsia="黑体" w:cs="黑体"/>
                <w:color w:val="auto"/>
                <w:kern w:val="0"/>
                <w:sz w:val="36"/>
                <w:szCs w:val="36"/>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1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8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51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0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244"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191"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部门：</w:t>
            </w:r>
          </w:p>
        </w:tc>
        <w:tc>
          <w:tcPr>
            <w:tcW w:w="100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413"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2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w:t>
            </w:r>
          </w:p>
        </w:tc>
        <w:tc>
          <w:tcPr>
            <w:tcW w:w="9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年初结转和结余</w:t>
            </w:r>
          </w:p>
        </w:tc>
        <w:tc>
          <w:tcPr>
            <w:tcW w:w="100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本年收入</w:t>
            </w:r>
          </w:p>
        </w:tc>
        <w:tc>
          <w:tcPr>
            <w:tcW w:w="332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本年支出</w:t>
            </w:r>
          </w:p>
        </w:tc>
        <w:tc>
          <w:tcPr>
            <w:tcW w:w="124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8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功能分类科目编码</w:t>
            </w:r>
          </w:p>
        </w:tc>
        <w:tc>
          <w:tcPr>
            <w:tcW w:w="1443"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960" w:type="dxa"/>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01" w:type="dxa"/>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小计</w:t>
            </w:r>
          </w:p>
        </w:tc>
        <w:tc>
          <w:tcPr>
            <w:tcW w:w="116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基本支出</w:t>
            </w:r>
          </w:p>
        </w:tc>
        <w:tc>
          <w:tcPr>
            <w:tcW w:w="116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项目支出</w:t>
            </w:r>
          </w:p>
        </w:tc>
        <w:tc>
          <w:tcPr>
            <w:tcW w:w="1244" w:type="dxa"/>
            <w:vMerge w:val="restart"/>
            <w:tcBorders>
              <w:top w:val="single" w:color="000000" w:sz="4" w:space="0"/>
              <w:left w:val="nil"/>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78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443"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8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443"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9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23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23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11,475.23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212</w:t>
            </w:r>
          </w:p>
        </w:tc>
        <w:tc>
          <w:tcPr>
            <w:tcW w:w="1443"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城乡社区支出</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11,475.23</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11,475.23</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11,475.23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21208</w:t>
            </w:r>
          </w:p>
        </w:tc>
        <w:tc>
          <w:tcPr>
            <w:tcW w:w="1443"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国有土地使用权出让收入及对应专项债务收入安排的支出</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2120899</w:t>
            </w:r>
          </w:p>
        </w:tc>
        <w:tc>
          <w:tcPr>
            <w:tcW w:w="1443"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其他国有土地使用权出让收入安排的支出</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95.02</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21210</w:t>
            </w:r>
          </w:p>
        </w:tc>
        <w:tc>
          <w:tcPr>
            <w:tcW w:w="1443"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国有土地收益基金及对应专项债务收入安排的支出</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7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2121001</w:t>
            </w:r>
          </w:p>
        </w:tc>
        <w:tc>
          <w:tcPr>
            <w:tcW w:w="1443"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lef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征地和拆迁补偿支出</w:t>
            </w:r>
          </w:p>
        </w:tc>
        <w:tc>
          <w:tcPr>
            <w:tcW w:w="9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9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11,380.21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15"/>
                <w:szCs w:val="15"/>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765"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auto"/>
                <w:szCs w:val="21"/>
                <w:highlight w:val="none"/>
              </w:rPr>
            </w:pPr>
            <w:r>
              <w:rPr>
                <w:rFonts w:hint="eastAsia" w:ascii="宋体" w:hAnsi="宋体" w:eastAsia="宋体" w:cs="宋体"/>
                <w:i w:val="0"/>
                <w:color w:val="auto"/>
                <w:kern w:val="0"/>
                <w:sz w:val="20"/>
                <w:szCs w:val="20"/>
                <w:highlight w:val="none"/>
                <w:u w:val="none"/>
                <w:lang w:val="en-US" w:eastAsia="zh-CN" w:bidi="ar"/>
              </w:rPr>
              <w:t>注：本表反映部门本年度政府性基金预算财政拨款收入、支出及结转和结余情况。</w:t>
            </w:r>
            <w:r>
              <w:rPr>
                <w:rFonts w:hint="eastAsia" w:ascii="宋体" w:hAnsi="宋体" w:cs="宋体"/>
                <w:color w:val="auto"/>
                <w:kern w:val="0"/>
                <w:szCs w:val="21"/>
                <w:highlight w:val="none"/>
              </w:rPr>
              <w:t xml:space="preserve">         </w:t>
            </w:r>
          </w:p>
        </w:tc>
      </w:tr>
    </w:tbl>
    <w:p>
      <w:pPr>
        <w:widowControl/>
        <w:spacing w:after="0" w:line="560" w:lineRule="exact"/>
        <w:jc w:val="left"/>
        <w:rPr>
          <w:rFonts w:ascii="仿宋_GB2312" w:hAnsi="宋体" w:eastAsia="仿宋_GB2312"/>
          <w:b/>
          <w:color w:val="auto"/>
          <w:sz w:val="28"/>
          <w:szCs w:val="28"/>
          <w:highlight w:val="none"/>
        </w:rPr>
        <w:sectPr>
          <w:pgSz w:w="11906" w:h="16838"/>
          <w:pgMar w:top="2098" w:right="1474" w:bottom="1984" w:left="1588" w:header="851" w:footer="992" w:gutter="0"/>
          <w:cols w:space="720" w:num="1"/>
          <w:docGrid w:type="lines" w:linePitch="312" w:charSpace="0"/>
        </w:sectPr>
      </w:pPr>
    </w:p>
    <w:tbl>
      <w:tblPr>
        <w:tblStyle w:val="10"/>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auto"/>
                <w:sz w:val="40"/>
                <w:szCs w:val="40"/>
                <w:highlight w:val="none"/>
              </w:rPr>
            </w:pPr>
            <w:r>
              <w:rPr>
                <w:rFonts w:hint="eastAsia" w:ascii="黑体" w:hAnsi="宋体" w:eastAsia="黑体" w:cs="黑体"/>
                <w:color w:val="auto"/>
                <w:kern w:val="0"/>
                <w:sz w:val="40"/>
                <w:szCs w:val="40"/>
                <w:highlight w:val="none"/>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0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504"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6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03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200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43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编制单位：</w:t>
            </w:r>
          </w:p>
        </w:tc>
        <w:tc>
          <w:tcPr>
            <w:tcW w:w="2005"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3438"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tc>
      </w:tr>
    </w:tbl>
    <w:p>
      <w:pPr>
        <w:widowControl/>
        <w:adjustRightInd w:val="0"/>
        <w:spacing w:after="0" w:line="240" w:lineRule="auto"/>
        <w:jc w:val="left"/>
        <w:textAlignment w:val="center"/>
        <w:rPr>
          <w:rFonts w:hint="eastAsia" w:ascii="宋体" w:hAnsi="宋体" w:eastAsia="宋体" w:cs="宋体"/>
          <w:i w:val="0"/>
          <w:color w:val="auto"/>
          <w:kern w:val="0"/>
          <w:sz w:val="20"/>
          <w:szCs w:val="20"/>
          <w:highlight w:val="none"/>
          <w:u w:val="none"/>
          <w:lang w:val="en-US" w:eastAsia="zh-CN" w:bidi="ar"/>
        </w:rPr>
      </w:pPr>
    </w:p>
    <w:p>
      <w:pPr>
        <w:widowControl/>
        <w:adjustRightInd w:val="0"/>
        <w:spacing w:after="0" w:line="240" w:lineRule="auto"/>
        <w:jc w:val="left"/>
        <w:textAlignment w:val="center"/>
        <w:rPr>
          <w:color w:val="000000" w:themeColor="text1"/>
          <w14:textFill>
            <w14:solidFill>
              <w14:schemeClr w14:val="tx1"/>
            </w14:solidFill>
          </w14:textFill>
        </w:rPr>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pPr>
      <w:r>
        <w:rPr>
          <w:rFonts w:hint="eastAsia" w:ascii="宋体" w:hAnsi="宋体" w:eastAsia="宋体" w:cs="宋体"/>
          <w:i w:val="0"/>
          <w:color w:val="auto"/>
          <w:kern w:val="0"/>
          <w:sz w:val="20"/>
          <w:szCs w:val="20"/>
          <w:highlight w:val="none"/>
          <w:u w:val="none"/>
          <w:lang w:val="en-US" w:eastAsia="zh-CN" w:bidi="ar"/>
        </w:rPr>
        <w:t>注：本部门本年度无相关收入（或支出、收支及结转结余等）情况，按要求空表列示。</w: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100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4"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3" w:firstLineChars="200"/>
        <w:rPr>
          <w:rFonts w:hint="eastAsia" w:ascii="黑体" w:hAnsi="黑体" w:eastAsia="黑体" w:cs="黑体"/>
          <w:b/>
          <w:bCs/>
          <w:color w:val="auto"/>
          <w:sz w:val="32"/>
          <w:szCs w:val="32"/>
          <w:highlight w:val="none"/>
          <w:shd w:val="clear" w:fill="FFFFFF"/>
          <w:lang w:val="en-US" w:eastAsia="zh-CN"/>
        </w:rPr>
      </w:pPr>
      <w:r>
        <w:rPr>
          <w:rFonts w:hint="eastAsia" w:ascii="黑体" w:hAnsi="黑体" w:eastAsia="黑体" w:cs="黑体"/>
          <w:b/>
          <w:bCs/>
          <w:color w:val="auto"/>
          <w:sz w:val="32"/>
          <w:szCs w:val="32"/>
          <w:highlight w:val="none"/>
          <w:shd w:val="clear" w:fill="FFFFFF"/>
        </w:rPr>
        <w:t>一、预算绩效情况说明</w:t>
      </w:r>
    </w:p>
    <w:p>
      <w:pPr>
        <w:spacing w:after="0" w:line="584" w:lineRule="exact"/>
        <w:ind w:firstLine="643" w:firstLineChars="200"/>
        <w:rPr>
          <w:rFonts w:hint="eastAsia" w:ascii="仿宋" w:hAnsi="仿宋" w:eastAsia="仿宋" w:cs="仿宋"/>
          <w:b/>
          <w:bCs/>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rPr>
        <w:t>（一）</w:t>
      </w:r>
      <w:r>
        <w:rPr>
          <w:rFonts w:hint="eastAsia" w:ascii="仿宋" w:hAnsi="仿宋" w:eastAsia="仿宋" w:cs="仿宋"/>
          <w:b/>
          <w:bCs/>
          <w:color w:val="auto"/>
          <w:sz w:val="32"/>
          <w:szCs w:val="32"/>
          <w:highlight w:val="none"/>
          <w:shd w:val="clear" w:fill="FFFFFF"/>
          <w:lang w:val="en-US" w:eastAsia="zh-CN"/>
        </w:rPr>
        <w:t>绩效自评工作组织开展情况</w:t>
      </w:r>
    </w:p>
    <w:p>
      <w:pPr>
        <w:spacing w:line="584" w:lineRule="exact"/>
        <w:ind w:firstLine="640" w:firstLineChars="200"/>
        <w:rPr>
          <w:rFonts w:hint="eastAsia" w:ascii="仿宋" w:hAnsi="仿宋" w:eastAsia="仿宋" w:cs="仿宋"/>
          <w:color w:val="auto"/>
          <w:sz w:val="32"/>
          <w:szCs w:val="32"/>
          <w:highlight w:val="none"/>
          <w:shd w:val="clear" w:fill="FFFFFF"/>
        </w:rPr>
      </w:pPr>
      <w:r>
        <w:rPr>
          <w:rFonts w:hint="eastAsia" w:ascii="仿宋" w:hAnsi="仿宋" w:eastAsia="仿宋" w:cs="仿宋"/>
          <w:color w:val="auto"/>
          <w:sz w:val="32"/>
          <w:szCs w:val="32"/>
          <w:highlight w:val="none"/>
          <w:shd w:val="clear" w:fill="FFFFFF"/>
        </w:rPr>
        <w:t>为加强财政支出管理，提高财政资金使用效益，按照省委省政府《关于全面实施预算绩效管理的实施意见》（冀发〔2018〕54号）、《廊坊市财政局关于做好2019年市直部门（单位）绩效自评工作的通知》（廊财监〔2019〕9号）和《大厂回族自治县财政局关于全面实施预算绩效管理推进工作方案》（大财〔2019〕31号）要求，</w:t>
      </w:r>
      <w:r>
        <w:rPr>
          <w:rFonts w:hint="eastAsia" w:ascii="仿宋" w:hAnsi="仿宋" w:eastAsia="仿宋" w:cs="仿宋"/>
          <w:color w:val="auto"/>
          <w:sz w:val="32"/>
          <w:szCs w:val="32"/>
          <w:highlight w:val="none"/>
          <w:shd w:val="clear" w:fill="FFFFFF"/>
          <w:lang w:eastAsia="zh-CN"/>
        </w:rPr>
        <w:t>大厂回族自治县自然资源和规划局成立</w:t>
      </w:r>
      <w:r>
        <w:rPr>
          <w:rFonts w:hint="eastAsia" w:ascii="仿宋" w:hAnsi="仿宋" w:eastAsia="仿宋" w:cs="仿宋"/>
          <w:color w:val="auto"/>
          <w:sz w:val="32"/>
          <w:szCs w:val="32"/>
          <w:highlight w:val="none"/>
          <w:shd w:val="clear" w:fill="FFFFFF"/>
        </w:rPr>
        <w:t>绩效评价工作小组，于</w:t>
      </w:r>
      <w:r>
        <w:rPr>
          <w:rFonts w:hint="eastAsia" w:ascii="仿宋" w:hAnsi="仿宋" w:eastAsia="仿宋" w:cs="仿宋"/>
          <w:color w:val="auto"/>
          <w:sz w:val="32"/>
          <w:szCs w:val="32"/>
          <w:highlight w:val="none"/>
          <w:shd w:val="clear" w:fill="FFFFFF"/>
          <w:lang w:val="en-US" w:eastAsia="zh-CN"/>
        </w:rPr>
        <w:t>2020年7</w:t>
      </w:r>
      <w:r>
        <w:rPr>
          <w:rFonts w:hint="eastAsia" w:ascii="仿宋" w:hAnsi="仿宋" w:eastAsia="仿宋" w:cs="仿宋"/>
          <w:color w:val="auto"/>
          <w:sz w:val="32"/>
          <w:szCs w:val="32"/>
          <w:highlight w:val="none"/>
          <w:shd w:val="clear" w:fill="FFFFFF"/>
        </w:rPr>
        <w:t>月</w:t>
      </w:r>
      <w:r>
        <w:rPr>
          <w:rFonts w:hint="eastAsia" w:ascii="仿宋" w:hAnsi="仿宋" w:eastAsia="仿宋" w:cs="仿宋"/>
          <w:color w:val="auto"/>
          <w:sz w:val="32"/>
          <w:szCs w:val="32"/>
          <w:highlight w:val="none"/>
          <w:shd w:val="clear" w:fill="FFFFFF"/>
          <w:lang w:val="en-US" w:eastAsia="zh-CN"/>
        </w:rPr>
        <w:t>底前</w:t>
      </w:r>
      <w:r>
        <w:rPr>
          <w:rFonts w:hint="eastAsia" w:ascii="仿宋" w:hAnsi="仿宋" w:eastAsia="仿宋" w:cs="仿宋"/>
          <w:color w:val="auto"/>
          <w:sz w:val="32"/>
          <w:szCs w:val="32"/>
          <w:highlight w:val="none"/>
          <w:shd w:val="clear" w:fill="FFFFFF"/>
        </w:rPr>
        <w:t>对</w:t>
      </w:r>
      <w:r>
        <w:rPr>
          <w:rFonts w:hint="eastAsia" w:ascii="仿宋" w:hAnsi="仿宋" w:eastAsia="仿宋" w:cs="仿宋"/>
          <w:color w:val="auto"/>
          <w:sz w:val="32"/>
          <w:szCs w:val="32"/>
          <w:highlight w:val="none"/>
          <w:shd w:val="clear" w:fill="FFFFFF"/>
          <w:lang w:eastAsia="zh-CN"/>
        </w:rPr>
        <w:t>自然资源和规划局所涉</w:t>
      </w:r>
      <w:r>
        <w:rPr>
          <w:rFonts w:hint="eastAsia" w:ascii="仿宋" w:hAnsi="仿宋" w:eastAsia="仿宋" w:cs="仿宋"/>
          <w:color w:val="auto"/>
          <w:sz w:val="32"/>
          <w:szCs w:val="32"/>
          <w:highlight w:val="none"/>
          <w:shd w:val="clear" w:fill="FFFFFF"/>
          <w:lang w:val="en-US" w:eastAsia="zh-CN"/>
        </w:rPr>
        <w:t>2019</w:t>
      </w:r>
      <w:r>
        <w:rPr>
          <w:rFonts w:hint="eastAsia" w:ascii="仿宋" w:hAnsi="仿宋" w:eastAsia="仿宋" w:cs="仿宋"/>
          <w:color w:val="auto"/>
          <w:sz w:val="32"/>
          <w:szCs w:val="32"/>
          <w:highlight w:val="none"/>
          <w:shd w:val="clear" w:fill="FFFFFF"/>
        </w:rPr>
        <w:t>年</w:t>
      </w:r>
      <w:r>
        <w:rPr>
          <w:rFonts w:hint="eastAsia" w:ascii="仿宋" w:hAnsi="仿宋" w:eastAsia="仿宋" w:cs="仿宋"/>
          <w:color w:val="auto"/>
          <w:sz w:val="32"/>
          <w:szCs w:val="32"/>
          <w:highlight w:val="none"/>
          <w:shd w:val="clear" w:fill="FFFFFF"/>
          <w:lang w:eastAsia="zh-CN"/>
        </w:rPr>
        <w:t>部门整体项目支出进行了绩效自评，</w:t>
      </w:r>
      <w:r>
        <w:rPr>
          <w:rFonts w:hint="eastAsia" w:ascii="仿宋" w:hAnsi="仿宋" w:eastAsia="仿宋" w:cs="仿宋"/>
          <w:color w:val="auto"/>
          <w:sz w:val="32"/>
          <w:szCs w:val="32"/>
          <w:highlight w:val="none"/>
          <w:shd w:val="clear" w:fill="FFFFFF"/>
        </w:rPr>
        <w:t>评价对象为</w:t>
      </w:r>
      <w:r>
        <w:rPr>
          <w:rFonts w:hint="eastAsia" w:ascii="仿宋" w:hAnsi="仿宋" w:eastAsia="仿宋" w:cs="仿宋"/>
          <w:color w:val="auto"/>
          <w:sz w:val="32"/>
          <w:szCs w:val="32"/>
          <w:highlight w:val="none"/>
          <w:shd w:val="clear" w:fill="FFFFFF"/>
          <w:lang w:val="en-US" w:eastAsia="zh-CN"/>
        </w:rPr>
        <w:t>2019</w:t>
      </w:r>
      <w:r>
        <w:rPr>
          <w:rFonts w:hint="eastAsia" w:ascii="仿宋" w:hAnsi="仿宋" w:eastAsia="仿宋" w:cs="仿宋"/>
          <w:color w:val="auto"/>
          <w:sz w:val="32"/>
          <w:szCs w:val="32"/>
          <w:highlight w:val="none"/>
          <w:shd w:val="clear" w:fill="FFFFFF"/>
        </w:rPr>
        <w:t>年</w:t>
      </w:r>
      <w:r>
        <w:rPr>
          <w:rFonts w:hint="eastAsia" w:ascii="仿宋" w:hAnsi="仿宋" w:eastAsia="仿宋" w:cs="仿宋"/>
          <w:color w:val="auto"/>
          <w:sz w:val="32"/>
          <w:szCs w:val="32"/>
          <w:highlight w:val="none"/>
          <w:shd w:val="clear" w:fill="FFFFFF"/>
          <w:lang w:val="en-US" w:eastAsia="zh-CN"/>
        </w:rPr>
        <w:t>县</w:t>
      </w:r>
      <w:r>
        <w:rPr>
          <w:rFonts w:hint="eastAsia" w:ascii="仿宋" w:hAnsi="仿宋" w:eastAsia="仿宋" w:cs="仿宋"/>
          <w:color w:val="auto"/>
          <w:sz w:val="32"/>
          <w:szCs w:val="32"/>
          <w:highlight w:val="none"/>
          <w:shd w:val="clear" w:fill="FFFFFF"/>
        </w:rPr>
        <w:t>本级预算安排的所有项目支出资金</w:t>
      </w:r>
      <w:r>
        <w:rPr>
          <w:rFonts w:hint="eastAsia" w:ascii="仿宋" w:hAnsi="仿宋" w:eastAsia="仿宋" w:cs="仿宋"/>
          <w:color w:val="auto"/>
          <w:sz w:val="32"/>
          <w:szCs w:val="32"/>
          <w:highlight w:val="none"/>
          <w:shd w:val="clear" w:fill="FFFFFF"/>
          <w:lang w:eastAsia="zh-CN"/>
        </w:rPr>
        <w:t>（不含专项公用经费项目）。</w:t>
      </w:r>
      <w:r>
        <w:rPr>
          <w:rFonts w:hint="eastAsia" w:ascii="仿宋" w:hAnsi="仿宋" w:eastAsia="仿宋" w:cs="仿宋"/>
          <w:color w:val="auto"/>
          <w:sz w:val="32"/>
          <w:szCs w:val="32"/>
          <w:highlight w:val="none"/>
          <w:shd w:val="clear" w:fill="FFFFFF"/>
        </w:rPr>
        <w:t>现将绩效自评情况报告如下：</w:t>
      </w:r>
    </w:p>
    <w:p>
      <w:pPr>
        <w:spacing w:line="584" w:lineRule="exact"/>
        <w:ind w:firstLine="643" w:firstLineChars="200"/>
        <w:rPr>
          <w:rFonts w:hint="eastAsia" w:ascii="仿宋" w:hAnsi="仿宋" w:eastAsia="仿宋" w:cs="仿宋"/>
          <w:b/>
          <w:bCs/>
          <w:color w:val="auto"/>
          <w:sz w:val="32"/>
          <w:szCs w:val="32"/>
          <w:highlight w:val="none"/>
          <w:shd w:val="clear" w:fill="FFFFFF"/>
        </w:rPr>
      </w:pPr>
      <w:r>
        <w:rPr>
          <w:rFonts w:hint="eastAsia" w:ascii="仿宋" w:hAnsi="仿宋" w:eastAsia="仿宋" w:cs="仿宋"/>
          <w:b/>
          <w:bCs/>
          <w:color w:val="auto"/>
          <w:sz w:val="32"/>
          <w:szCs w:val="32"/>
          <w:highlight w:val="none"/>
          <w:shd w:val="clear" w:fill="FFFFFF"/>
        </w:rPr>
        <w:t>（二）部门绩效评价结果</w:t>
      </w:r>
    </w:p>
    <w:p>
      <w:pPr>
        <w:spacing w:line="584" w:lineRule="exact"/>
        <w:ind w:firstLine="643"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b/>
          <w:bCs/>
          <w:color w:val="auto"/>
          <w:sz w:val="32"/>
          <w:szCs w:val="32"/>
          <w:highlight w:val="none"/>
          <w:shd w:val="clear" w:fill="FFFFFF"/>
          <w:lang w:val="en-US" w:eastAsia="zh-CN"/>
        </w:rPr>
        <w:t>1.项目绩效自评结果。</w:t>
      </w:r>
      <w:r>
        <w:rPr>
          <w:rFonts w:hint="eastAsia" w:ascii="仿宋" w:hAnsi="仿宋" w:eastAsia="仿宋" w:cs="仿宋"/>
          <w:color w:val="auto"/>
          <w:sz w:val="32"/>
          <w:szCs w:val="32"/>
          <w:highlight w:val="none"/>
          <w:shd w:val="clear" w:fill="FFFFFF"/>
          <w:lang w:val="en-US" w:eastAsia="zh-CN"/>
        </w:rPr>
        <w:t>大厂回族自治县自然资源和规划局绩效自评采取定性和定量分析相结合的对2019年度项目支出情况进行绩效自评，涉及27个项目，资金13693.37万元，项目自评结果90 分以上的27 项。在部门决算公开中反映项目整体绩效自评及储备资金项目绩效自评结果。</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储备资金项目综述：根据年初设定的绩效目标，储备资金项目绩效自评得分为100分（绩效自评表附后）。全年预算数为11380.2068万元，执行数为11380.2068万元，完成预算的100%。项目绩效目标完成情况：一是按成2019年年度土地收储相关工作；二是加强土地调控、促进土地节约集约利用、提高建设用地保障能力。未发现问题。下一步改进措施：在编制目标预算安排时，需要充分了解项目的实际情况，从实际出发，合理地设定目标安排，提高项目目标编制的明确性，同时也能提高财政资金的使用效率。</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2.财政评价项目绩效评价结果。</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无财政评价项目绩效 评价结果。</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 w:hAnsi="仿宋" w:eastAsia="仿宋" w:cs="仿宋"/>
          <w:color w:val="auto"/>
          <w:sz w:val="32"/>
          <w:szCs w:val="32"/>
          <w:highlight w:val="none"/>
          <w:shd w:val="clear" w:fill="FFFFFF"/>
          <w:lang w:val="en-US" w:eastAsia="zh-CN"/>
        </w:rPr>
        <w:t>3.部门整体绩效自评结果。本部门对2019年度部门整体绩效进行自评价，自评得分95分，评价等级为优。从评价情况来看，我局较好完成了2019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pStyle w:val="2"/>
        <w:rPr>
          <w:rFonts w:hint="eastAsia"/>
          <w:lang w:val="en-US" w:eastAsia="zh-CN"/>
        </w:rPr>
        <w:sectPr>
          <w:pgSz w:w="11906" w:h="16838"/>
          <w:pgMar w:top="2098" w:right="1474" w:bottom="1985" w:left="1588" w:header="851" w:footer="992" w:gutter="0"/>
          <w:cols w:space="720" w:num="1"/>
          <w:docGrid w:type="lines" w:linePitch="312" w:charSpace="0"/>
        </w:sectPr>
      </w:pPr>
    </w:p>
    <w:tbl>
      <w:tblPr>
        <w:tblStyle w:val="10"/>
        <w:tblW w:w="24479" w:type="dxa"/>
        <w:tblInd w:w="91" w:type="dxa"/>
        <w:shd w:val="clear" w:color="auto" w:fill="auto"/>
        <w:tblLayout w:type="fixed"/>
        <w:tblCellMar>
          <w:top w:w="0" w:type="dxa"/>
          <w:left w:w="108" w:type="dxa"/>
          <w:bottom w:w="0" w:type="dxa"/>
          <w:right w:w="108" w:type="dxa"/>
        </w:tblCellMar>
      </w:tblPr>
      <w:tblGrid>
        <w:gridCol w:w="525"/>
        <w:gridCol w:w="525"/>
        <w:gridCol w:w="801"/>
        <w:gridCol w:w="1631"/>
        <w:gridCol w:w="2222"/>
        <w:gridCol w:w="1306"/>
        <w:gridCol w:w="979"/>
        <w:gridCol w:w="979"/>
        <w:gridCol w:w="1258"/>
        <w:gridCol w:w="240"/>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tblGrid>
      <w:tr>
        <w:tblPrEx>
          <w:tblCellMar>
            <w:top w:w="0" w:type="dxa"/>
            <w:left w:w="108" w:type="dxa"/>
            <w:bottom w:w="0" w:type="dxa"/>
            <w:right w:w="108" w:type="dxa"/>
          </w:tblCellMar>
        </w:tblPrEx>
        <w:trPr>
          <w:trHeight w:val="1004" w:hRule="exact"/>
        </w:trPr>
        <w:tc>
          <w:tcPr>
            <w:tcW w:w="896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项目支出绩效自评表</w:t>
            </w:r>
          </w:p>
        </w:tc>
        <w:tc>
          <w:tcPr>
            <w:tcW w:w="125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526" w:hRule="exact"/>
        </w:trPr>
        <w:tc>
          <w:tcPr>
            <w:tcW w:w="10226"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（2019年度）</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52" w:hRule="exac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917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储备资金</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27" w:hRule="exac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主管部门</w:t>
            </w:r>
          </w:p>
        </w:tc>
        <w:tc>
          <w:tcPr>
            <w:tcW w:w="4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大厂回族自治县自然资源和规划局</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实施单位</w:t>
            </w:r>
          </w:p>
        </w:tc>
        <w:tc>
          <w:tcPr>
            <w:tcW w:w="32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大厂回族自治县自然资源和规划局</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482" w:hRule="exact"/>
        </w:trPr>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项目资金（万元）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年初预算数</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全年预算数</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全年执行数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分值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执行率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得分</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72" w:hRule="exact"/>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年度资金总额</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10</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12" w:hRule="exact"/>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其中：当年财政拨款</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67" w:hRule="exact"/>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上年结转资金</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52" w:hRule="exact"/>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其他资金</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632" w:hRule="exac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年度总体目标</w:t>
            </w:r>
          </w:p>
        </w:tc>
        <w:tc>
          <w:tcPr>
            <w:tcW w:w="517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预期目标</w:t>
            </w:r>
          </w:p>
        </w:tc>
        <w:tc>
          <w:tcPr>
            <w:tcW w:w="452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实际完成情况</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2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17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加强土地调控、促进土地节约集约利用、提高建设用地保障能力</w:t>
            </w:r>
          </w:p>
        </w:tc>
        <w:tc>
          <w:tcPr>
            <w:tcW w:w="452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已完成2019年度土地储备工作</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52" w:hRule="exac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绩效指标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一级指标</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年度指标值</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实际完成值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分值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得分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偏差原因分析及改进措施</w:t>
            </w: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1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决策</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项目立项</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项目立项规范性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项目按照政府要求申请设立；</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项目按照政府要求申请设立；</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5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文件、资料齐全；</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文件、资料齐全；</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4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绩效目标合理性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符合国家相关法律法规、国民经济发展规划和党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符合国家相关法律法规、国民经济发展规划和党</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63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委政府决策；且为促进土地市场调控所必需；项目预期产出效益和效果较好。</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委政府决策；且为促进土地市场调控所必需；项目预期产出效益和效果较好。</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8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绩效指标明确性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已将项目绩效目标细化分解为绩效指标；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已将项目绩效目标细化分解为绩效指标；</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7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通过清晰、可衡量的指标值予以体现；</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通过清晰、可衡量的指标值予以体现；</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5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与项目年度任务数或计划数相对应；</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与项目年度任务数或计划数相对应；</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8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与预算确定的项目投资额或资金量相匹配。</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与预算确定的项目投资额或资金量相匹配。</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8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资金落实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资金到位率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资金100%到位且在项目期内全额投入到具体项目</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资金100%到位且在项目期内全额投入到具体项目</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8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到位及时率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项目资金在规定时间内及时拨付到位。</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项目资金在规定时间内及时拨付到位。</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7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过程</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业务管理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管理制度健全性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具有相</w:t>
            </w:r>
            <w:r>
              <w:rPr>
                <w:rFonts w:hint="eastAsia" w:ascii="宋体" w:hAnsi="宋体" w:eastAsia="宋体" w:cs="宋体"/>
                <w:i w:val="0"/>
                <w:iCs w:val="0"/>
                <w:color w:val="auto"/>
                <w:kern w:val="0"/>
                <w:sz w:val="18"/>
                <w:szCs w:val="18"/>
                <w:highlight w:val="none"/>
                <w:u w:val="none"/>
                <w:lang w:val="en-US" w:eastAsia="zh-CN" w:bidi="ar"/>
              </w:rPr>
              <w:t>应</w:t>
            </w:r>
            <w:r>
              <w:rPr>
                <w:rFonts w:hint="default" w:ascii="宋体" w:hAnsi="宋体" w:eastAsia="宋体" w:cs="宋体"/>
                <w:i w:val="0"/>
                <w:iCs w:val="0"/>
                <w:color w:val="auto"/>
                <w:kern w:val="0"/>
                <w:sz w:val="18"/>
                <w:szCs w:val="18"/>
                <w:highlight w:val="none"/>
                <w:u w:val="none"/>
                <w:lang w:val="en-US" w:eastAsia="zh-CN" w:bidi="ar"/>
              </w:rPr>
              <w:t>的</w:t>
            </w:r>
            <w:r>
              <w:rPr>
                <w:rFonts w:hint="eastAsia" w:ascii="宋体" w:hAnsi="宋体" w:eastAsia="宋体" w:cs="宋体"/>
                <w:i w:val="0"/>
                <w:iCs w:val="0"/>
                <w:color w:val="auto"/>
                <w:kern w:val="0"/>
                <w:sz w:val="18"/>
                <w:szCs w:val="18"/>
                <w:highlight w:val="none"/>
                <w:u w:val="none"/>
                <w:lang w:val="en-US" w:eastAsia="zh-CN" w:bidi="ar"/>
              </w:rPr>
              <w:t>业务</w:t>
            </w:r>
            <w:r>
              <w:rPr>
                <w:rFonts w:hint="default" w:ascii="宋体" w:hAnsi="宋体" w:eastAsia="宋体" w:cs="宋体"/>
                <w:i w:val="0"/>
                <w:iCs w:val="0"/>
                <w:color w:val="auto"/>
                <w:kern w:val="0"/>
                <w:sz w:val="18"/>
                <w:szCs w:val="18"/>
                <w:highlight w:val="none"/>
                <w:u w:val="none"/>
                <w:lang w:val="en-US" w:eastAsia="zh-CN" w:bidi="ar"/>
              </w:rPr>
              <w:t>管理制度；合法、合</w:t>
            </w:r>
            <w:r>
              <w:rPr>
                <w:rFonts w:hint="eastAsia" w:ascii="宋体" w:hAnsi="宋体" w:eastAsia="宋体" w:cs="宋体"/>
                <w:i w:val="0"/>
                <w:iCs w:val="0"/>
                <w:color w:val="auto"/>
                <w:kern w:val="0"/>
                <w:sz w:val="18"/>
                <w:szCs w:val="18"/>
                <w:highlight w:val="none"/>
                <w:u w:val="none"/>
                <w:lang w:val="en-US" w:eastAsia="zh-CN" w:bidi="ar"/>
              </w:rPr>
              <w:t>规</w:t>
            </w:r>
            <w:r>
              <w:rPr>
                <w:rFonts w:hint="default" w:ascii="宋体" w:hAnsi="宋体" w:eastAsia="宋体" w:cs="宋体"/>
                <w:i w:val="0"/>
                <w:iCs w:val="0"/>
                <w:color w:val="auto"/>
                <w:kern w:val="0"/>
                <w:sz w:val="18"/>
                <w:szCs w:val="18"/>
                <w:highlight w:val="none"/>
                <w:u w:val="none"/>
                <w:lang w:val="en-US" w:eastAsia="zh-CN" w:bidi="ar"/>
              </w:rPr>
              <w:t>、完整。</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具有相应的业务管理制度；合法、合规、完整。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2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制度</w:t>
            </w:r>
            <w:r>
              <w:rPr>
                <w:rFonts w:hint="eastAsia" w:ascii="宋体" w:hAnsi="宋体" w:eastAsia="宋体" w:cs="宋体"/>
                <w:i w:val="0"/>
                <w:iCs w:val="0"/>
                <w:color w:val="auto"/>
                <w:kern w:val="0"/>
                <w:sz w:val="18"/>
                <w:szCs w:val="18"/>
                <w:highlight w:val="none"/>
                <w:u w:val="none"/>
                <w:lang w:val="en-US" w:eastAsia="zh-CN" w:bidi="ar"/>
              </w:rPr>
              <w:t>执</w:t>
            </w:r>
            <w:r>
              <w:rPr>
                <w:rFonts w:hint="default" w:ascii="宋体" w:hAnsi="宋体" w:eastAsia="宋体" w:cs="宋体"/>
                <w:i w:val="0"/>
                <w:iCs w:val="0"/>
                <w:color w:val="auto"/>
                <w:kern w:val="0"/>
                <w:sz w:val="18"/>
                <w:szCs w:val="18"/>
                <w:highlight w:val="none"/>
                <w:u w:val="none"/>
                <w:lang w:val="en-US" w:eastAsia="zh-CN" w:bidi="ar"/>
              </w:rPr>
              <w:t>行有效性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遵守相关法律法规和业务管理规定。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遵守相关法律法规和业务管理规定。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63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w:t>
            </w:r>
            <w:r>
              <w:rPr>
                <w:rFonts w:hint="default" w:ascii="宋体" w:hAnsi="宋体" w:eastAsia="宋体" w:cs="宋体"/>
                <w:i w:val="0"/>
                <w:iCs w:val="0"/>
                <w:color w:val="auto"/>
                <w:kern w:val="0"/>
                <w:sz w:val="18"/>
                <w:szCs w:val="18"/>
                <w:highlight w:val="none"/>
                <w:u w:val="none"/>
                <w:lang w:val="en-US" w:eastAsia="zh-CN" w:bidi="ar"/>
              </w:rPr>
              <w:t>目</w:t>
            </w:r>
            <w:r>
              <w:rPr>
                <w:rFonts w:hint="eastAsia" w:ascii="宋体" w:hAnsi="宋体" w:eastAsia="宋体" w:cs="宋体"/>
                <w:i w:val="0"/>
                <w:iCs w:val="0"/>
                <w:color w:val="auto"/>
                <w:kern w:val="0"/>
                <w:sz w:val="18"/>
                <w:szCs w:val="18"/>
                <w:highlight w:val="none"/>
                <w:u w:val="none"/>
                <w:lang w:val="en-US" w:eastAsia="zh-CN" w:bidi="ar"/>
              </w:rPr>
              <w:t>质</w:t>
            </w:r>
            <w:r>
              <w:rPr>
                <w:rFonts w:hint="default" w:ascii="宋体" w:hAnsi="宋体" w:eastAsia="宋体" w:cs="宋体"/>
                <w:i w:val="0"/>
                <w:iCs w:val="0"/>
                <w:color w:val="auto"/>
                <w:kern w:val="0"/>
                <w:sz w:val="18"/>
                <w:szCs w:val="18"/>
                <w:highlight w:val="none"/>
                <w:u w:val="none"/>
                <w:lang w:val="en-US" w:eastAsia="zh-CN" w:bidi="ar"/>
              </w:rPr>
              <w:t>量可控性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具有相应的项目质量要求或标准。</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具有相应的项目质量要求或标准。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48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财务管理</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管理制度健全性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已具有相应的项目资金管理办法；符合相关财务会计制度的规定。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已具有相应的项目资金管理办法；符合相关财务会计制度的规定。</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1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w:t>
            </w:r>
            <w:r>
              <w:rPr>
                <w:rFonts w:hint="default" w:ascii="宋体" w:hAnsi="宋体" w:eastAsia="宋体" w:cs="宋体"/>
                <w:i w:val="0"/>
                <w:iCs w:val="0"/>
                <w:color w:val="auto"/>
                <w:kern w:val="0"/>
                <w:sz w:val="18"/>
                <w:szCs w:val="18"/>
                <w:highlight w:val="none"/>
                <w:u w:val="none"/>
                <w:lang w:val="en-US" w:eastAsia="zh-CN" w:bidi="ar"/>
              </w:rPr>
              <w:t>金使用合</w:t>
            </w:r>
            <w:r>
              <w:rPr>
                <w:rFonts w:hint="eastAsia" w:ascii="宋体" w:hAnsi="宋体" w:eastAsia="宋体" w:cs="宋体"/>
                <w:i w:val="0"/>
                <w:iCs w:val="0"/>
                <w:color w:val="auto"/>
                <w:kern w:val="0"/>
                <w:sz w:val="18"/>
                <w:szCs w:val="18"/>
                <w:highlight w:val="none"/>
                <w:u w:val="none"/>
                <w:lang w:val="en-US" w:eastAsia="zh-CN" w:bidi="ar"/>
              </w:rPr>
              <w:t>规</w:t>
            </w:r>
            <w:r>
              <w:rPr>
                <w:rFonts w:hint="default" w:ascii="宋体" w:hAnsi="宋体" w:eastAsia="宋体" w:cs="宋体"/>
                <w:i w:val="0"/>
                <w:iCs w:val="0"/>
                <w:color w:val="auto"/>
                <w:kern w:val="0"/>
                <w:sz w:val="18"/>
                <w:szCs w:val="18"/>
                <w:highlight w:val="none"/>
                <w:u w:val="none"/>
                <w:lang w:val="en-US" w:eastAsia="zh-CN" w:bidi="ar"/>
              </w:rPr>
              <w:t>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符合国家土地储备管理办法及土地储备资金财务管理制度的规定；资金的拨付有完整的审批程序和手续；项目的重大开支经过县政府批准。</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符合国家土地储备管理办法及土地储备资金财务管理制度的规定；资金的拨付有完整的审批程序和手续；项目的重大开支经过县政府批准。</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5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财务监</w:t>
            </w:r>
            <w:r>
              <w:rPr>
                <w:rFonts w:hint="default" w:ascii="宋体" w:hAnsi="宋体" w:eastAsia="宋体" w:cs="宋体"/>
                <w:i w:val="0"/>
                <w:iCs w:val="0"/>
                <w:color w:val="auto"/>
                <w:kern w:val="0"/>
                <w:sz w:val="18"/>
                <w:szCs w:val="18"/>
                <w:highlight w:val="none"/>
                <w:u w:val="none"/>
                <w:lang w:val="en-US" w:eastAsia="zh-CN" w:bidi="ar"/>
              </w:rPr>
              <w:t>控有效性</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县财政部门对项目资金具有监管机制；且采取了相应的财务检查等必要的监控措施。</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县财政部门对项目资金具有监管机制；且采取了相应的财务检查等必要的监控措施。</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48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产出</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项目产出</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项目完成率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w:t>
            </w:r>
            <w:r>
              <w:rPr>
                <w:rFonts w:hint="default" w:ascii="宋体" w:hAnsi="宋体" w:eastAsia="宋体" w:cs="宋体"/>
                <w:i w:val="0"/>
                <w:iCs w:val="0"/>
                <w:color w:val="auto"/>
                <w:kern w:val="0"/>
                <w:sz w:val="18"/>
                <w:szCs w:val="18"/>
                <w:highlight w:val="none"/>
                <w:u w:val="none"/>
                <w:lang w:val="en-US" w:eastAsia="zh-CN" w:bidi="ar"/>
              </w:rPr>
              <w:t>目</w:t>
            </w:r>
            <w:r>
              <w:rPr>
                <w:rFonts w:hint="eastAsia" w:ascii="宋体" w:hAnsi="宋体" w:eastAsia="宋体" w:cs="宋体"/>
                <w:i w:val="0"/>
                <w:iCs w:val="0"/>
                <w:color w:val="auto"/>
                <w:kern w:val="0"/>
                <w:sz w:val="18"/>
                <w:szCs w:val="18"/>
                <w:highlight w:val="none"/>
                <w:u w:val="none"/>
                <w:lang w:val="en-US" w:eastAsia="zh-CN" w:bidi="ar"/>
              </w:rPr>
              <w:t>实际</w:t>
            </w:r>
            <w:r>
              <w:rPr>
                <w:rFonts w:hint="default" w:ascii="宋体" w:hAnsi="宋体" w:eastAsia="宋体" w:cs="宋体"/>
                <w:i w:val="0"/>
                <w:iCs w:val="0"/>
                <w:color w:val="auto"/>
                <w:kern w:val="0"/>
                <w:sz w:val="18"/>
                <w:szCs w:val="18"/>
                <w:highlight w:val="none"/>
                <w:u w:val="none"/>
                <w:lang w:val="en-US" w:eastAsia="zh-CN" w:bidi="ar"/>
              </w:rPr>
              <w:t>完成率</w:t>
            </w:r>
            <w:r>
              <w:rPr>
                <w:rFonts w:hint="eastAsia" w:ascii="宋体" w:hAnsi="宋体" w:eastAsia="宋体" w:cs="宋体"/>
                <w:i w:val="0"/>
                <w:iCs w:val="0"/>
                <w:color w:val="auto"/>
                <w:kern w:val="0"/>
                <w:sz w:val="18"/>
                <w:szCs w:val="18"/>
                <w:highlight w:val="none"/>
                <w:u w:val="none"/>
                <w:lang w:val="en-US" w:eastAsia="zh-CN" w:bidi="ar"/>
              </w:rPr>
              <w:t>为</w:t>
            </w:r>
            <w:r>
              <w:rPr>
                <w:rFonts w:hint="default" w:ascii="宋体" w:hAnsi="宋体" w:eastAsia="宋体" w:cs="宋体"/>
                <w:i w:val="0"/>
                <w:iCs w:val="0"/>
                <w:color w:val="auto"/>
                <w:kern w:val="0"/>
                <w:sz w:val="18"/>
                <w:szCs w:val="18"/>
                <w:highlight w:val="none"/>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项目实际完成率为100%；</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25</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4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项目完成及时率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完成及</w:t>
            </w:r>
            <w:r>
              <w:rPr>
                <w:rFonts w:hint="eastAsia" w:ascii="宋体" w:hAnsi="宋体" w:eastAsia="宋体" w:cs="宋体"/>
                <w:i w:val="0"/>
                <w:iCs w:val="0"/>
                <w:color w:val="auto"/>
                <w:kern w:val="0"/>
                <w:sz w:val="18"/>
                <w:szCs w:val="18"/>
                <w:highlight w:val="none"/>
                <w:u w:val="none"/>
                <w:lang w:val="en-US" w:eastAsia="zh-CN" w:bidi="ar"/>
              </w:rPr>
              <w:t>时</w:t>
            </w:r>
            <w:r>
              <w:rPr>
                <w:rFonts w:hint="default" w:ascii="宋体" w:hAnsi="宋体" w:eastAsia="宋体" w:cs="宋体"/>
                <w:i w:val="0"/>
                <w:iCs w:val="0"/>
                <w:color w:val="auto"/>
                <w:kern w:val="0"/>
                <w:sz w:val="18"/>
                <w:szCs w:val="18"/>
                <w:highlight w:val="none"/>
                <w:u w:val="none"/>
                <w:lang w:val="en-US" w:eastAsia="zh-CN" w:bidi="ar"/>
              </w:rPr>
              <w:t>率100%；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完成及时率100%；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2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质量达标率</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质</w:t>
            </w:r>
            <w:r>
              <w:rPr>
                <w:rFonts w:hint="default" w:ascii="宋体" w:hAnsi="宋体" w:eastAsia="宋体" w:cs="宋体"/>
                <w:i w:val="0"/>
                <w:iCs w:val="0"/>
                <w:color w:val="auto"/>
                <w:kern w:val="0"/>
                <w:sz w:val="18"/>
                <w:szCs w:val="18"/>
                <w:highlight w:val="none"/>
                <w:u w:val="none"/>
                <w:lang w:val="en-US" w:eastAsia="zh-CN" w:bidi="ar"/>
              </w:rPr>
              <w:t>量</w:t>
            </w:r>
            <w:r>
              <w:rPr>
                <w:rFonts w:hint="eastAsia" w:ascii="宋体" w:hAnsi="宋体" w:eastAsia="宋体" w:cs="宋体"/>
                <w:i w:val="0"/>
                <w:iCs w:val="0"/>
                <w:color w:val="auto"/>
                <w:kern w:val="0"/>
                <w:sz w:val="18"/>
                <w:szCs w:val="18"/>
                <w:highlight w:val="none"/>
                <w:u w:val="none"/>
                <w:lang w:val="en-US" w:eastAsia="zh-CN" w:bidi="ar"/>
              </w:rPr>
              <w:t>达标</w:t>
            </w:r>
            <w:r>
              <w:rPr>
                <w:rFonts w:hint="default" w:ascii="宋体" w:hAnsi="宋体" w:eastAsia="宋体" w:cs="宋体"/>
                <w:i w:val="0"/>
                <w:iCs w:val="0"/>
                <w:color w:val="auto"/>
                <w:kern w:val="0"/>
                <w:sz w:val="18"/>
                <w:szCs w:val="18"/>
                <w:highlight w:val="none"/>
                <w:u w:val="none"/>
                <w:lang w:val="en-US" w:eastAsia="zh-CN" w:bidi="ar"/>
              </w:rPr>
              <w:t>率98%。</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质量达标率98%。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1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效益</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项目效益</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社会效益</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促进土地资源合理利用</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促进土地资源合理利用</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25</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48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经济效益</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为</w:t>
            </w:r>
            <w:r>
              <w:rPr>
                <w:rFonts w:hint="default" w:ascii="宋体" w:hAnsi="宋体" w:eastAsia="宋体" w:cs="宋体"/>
                <w:i w:val="0"/>
                <w:iCs w:val="0"/>
                <w:color w:val="auto"/>
                <w:kern w:val="0"/>
                <w:sz w:val="18"/>
                <w:szCs w:val="18"/>
                <w:highlight w:val="none"/>
                <w:u w:val="none"/>
                <w:lang w:val="en-US" w:eastAsia="zh-CN" w:bidi="ar"/>
              </w:rPr>
              <w:t>全</w:t>
            </w:r>
            <w:r>
              <w:rPr>
                <w:rFonts w:hint="eastAsia" w:ascii="宋体" w:hAnsi="宋体" w:eastAsia="宋体" w:cs="宋体"/>
                <w:i w:val="0"/>
                <w:iCs w:val="0"/>
                <w:color w:val="auto"/>
                <w:kern w:val="0"/>
                <w:sz w:val="18"/>
                <w:szCs w:val="18"/>
                <w:highlight w:val="none"/>
                <w:u w:val="none"/>
                <w:lang w:val="en-US" w:eastAsia="zh-CN" w:bidi="ar"/>
              </w:rPr>
              <w:t>县经济发</w:t>
            </w:r>
            <w:r>
              <w:rPr>
                <w:rFonts w:hint="default" w:ascii="宋体" w:hAnsi="宋体" w:eastAsia="宋体" w:cs="宋体"/>
                <w:i w:val="0"/>
                <w:iCs w:val="0"/>
                <w:color w:val="auto"/>
                <w:kern w:val="0"/>
                <w:sz w:val="18"/>
                <w:szCs w:val="18"/>
                <w:highlight w:val="none"/>
                <w:u w:val="none"/>
                <w:lang w:val="en-US" w:eastAsia="zh-CN" w:bidi="ar"/>
              </w:rPr>
              <w:t>展提供有力的土地</w:t>
            </w:r>
            <w:r>
              <w:rPr>
                <w:rFonts w:hint="eastAsia" w:ascii="宋体" w:hAnsi="宋体" w:eastAsia="宋体" w:cs="宋体"/>
                <w:i w:val="0"/>
                <w:iCs w:val="0"/>
                <w:color w:val="auto"/>
                <w:kern w:val="0"/>
                <w:sz w:val="18"/>
                <w:szCs w:val="18"/>
                <w:highlight w:val="none"/>
                <w:u w:val="none"/>
                <w:lang w:val="en-US" w:eastAsia="zh-CN" w:bidi="ar"/>
              </w:rPr>
              <w:t>资</w:t>
            </w:r>
            <w:r>
              <w:rPr>
                <w:rFonts w:hint="default" w:ascii="宋体" w:hAnsi="宋体" w:eastAsia="宋体" w:cs="宋体"/>
                <w:i w:val="0"/>
                <w:iCs w:val="0"/>
                <w:color w:val="auto"/>
                <w:kern w:val="0"/>
                <w:sz w:val="18"/>
                <w:szCs w:val="18"/>
                <w:highlight w:val="none"/>
                <w:u w:val="none"/>
                <w:lang w:val="en-US" w:eastAsia="zh-CN" w:bidi="ar"/>
              </w:rPr>
              <w:t>源保障。</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为全县经济发展提供有力的土地资源保障。</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467"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生态效益</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cantSplit/>
          <w:trHeight w:val="51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可持续影响</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为政府部门科学调控土地市场提供保障；</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为政府部门科学调控土地市场提供保障；</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512" w:hRule="exac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满意度</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政府部</w:t>
            </w:r>
            <w:r>
              <w:rPr>
                <w:rFonts w:hint="eastAsia" w:ascii="宋体" w:hAnsi="宋体" w:eastAsia="宋体" w:cs="宋体"/>
                <w:i w:val="0"/>
                <w:iCs w:val="0"/>
                <w:color w:val="auto"/>
                <w:kern w:val="0"/>
                <w:sz w:val="18"/>
                <w:szCs w:val="18"/>
                <w:highlight w:val="none"/>
                <w:u w:val="none"/>
                <w:lang w:val="en-US" w:eastAsia="zh-CN" w:bidi="ar"/>
              </w:rPr>
              <w:t>门满</w:t>
            </w:r>
            <w:r>
              <w:rPr>
                <w:rFonts w:hint="default" w:ascii="宋体" w:hAnsi="宋体" w:eastAsia="宋体" w:cs="宋体"/>
                <w:i w:val="0"/>
                <w:iCs w:val="0"/>
                <w:color w:val="auto"/>
                <w:kern w:val="0"/>
                <w:sz w:val="18"/>
                <w:szCs w:val="18"/>
                <w:highlight w:val="none"/>
                <w:u w:val="none"/>
                <w:lang w:val="en-US" w:eastAsia="zh-CN" w:bidi="ar"/>
              </w:rPr>
              <w:t>意度</w:t>
            </w:r>
            <w:r>
              <w:rPr>
                <w:rFonts w:hint="eastAsia" w:ascii="宋体" w:hAnsi="宋体" w:eastAsia="宋体" w:cs="宋体"/>
                <w:i w:val="0"/>
                <w:iCs w:val="0"/>
                <w:color w:val="auto"/>
                <w:kern w:val="0"/>
                <w:sz w:val="18"/>
                <w:szCs w:val="18"/>
                <w:highlight w:val="none"/>
                <w:u w:val="none"/>
                <w:lang w:val="en-US" w:eastAsia="zh-CN" w:bidi="ar"/>
              </w:rPr>
              <w:t>达</w:t>
            </w:r>
            <w:r>
              <w:rPr>
                <w:rFonts w:hint="default" w:ascii="宋体" w:hAnsi="宋体" w:eastAsia="宋体" w:cs="宋体"/>
                <w:i w:val="0"/>
                <w:iCs w:val="0"/>
                <w:color w:val="auto"/>
                <w:kern w:val="0"/>
                <w:sz w:val="18"/>
                <w:szCs w:val="18"/>
                <w:highlight w:val="none"/>
                <w:u w:val="none"/>
                <w:lang w:val="en-US" w:eastAsia="zh-CN" w:bidi="ar"/>
              </w:rPr>
              <w:t>95%以上；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政府部门满意度达95%以上；</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cantSplit/>
          <w:trHeight w:val="454" w:hRule="exact"/>
        </w:trPr>
        <w:tc>
          <w:tcPr>
            <w:tcW w:w="701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总分</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default" w:ascii="宋体" w:hAnsi="宋体" w:eastAsia="宋体" w:cs="宋体"/>
                <w:i w:val="0"/>
                <w:iCs w:val="0"/>
                <w:color w:val="auto"/>
                <w:kern w:val="0"/>
                <w:sz w:val="18"/>
                <w:szCs w:val="18"/>
                <w:highlight w:val="none"/>
                <w:u w:val="none"/>
                <w:lang w:val="en-US" w:eastAsia="zh-CN" w:bidi="ar"/>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1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rPr>
          <w:rFonts w:hint="eastAsia" w:ascii="宋体" w:hAnsi="宋体" w:eastAsia="宋体" w:cs="宋体"/>
          <w:i w:val="0"/>
          <w:iCs w:val="0"/>
          <w:color w:val="auto"/>
          <w:kern w:val="0"/>
          <w:sz w:val="24"/>
          <w:szCs w:val="24"/>
          <w:highlight w:val="none"/>
          <w:u w:val="none"/>
          <w:lang w:val="en-US" w:eastAsia="zh-CN" w:bidi="ar"/>
        </w:rPr>
      </w:pPr>
    </w:p>
    <w:tbl>
      <w:tblPr>
        <w:tblStyle w:val="10"/>
        <w:tblpPr w:leftFromText="180" w:rightFromText="180" w:vertAnchor="text" w:horzAnchor="page" w:tblpX="1285" w:tblpY="673"/>
        <w:tblOverlap w:val="never"/>
        <w:tblW w:w="13978" w:type="dxa"/>
        <w:tblInd w:w="0" w:type="dxa"/>
        <w:tblLayout w:type="fixed"/>
        <w:tblCellMar>
          <w:top w:w="0" w:type="dxa"/>
          <w:left w:w="0" w:type="dxa"/>
          <w:bottom w:w="0" w:type="dxa"/>
          <w:right w:w="0" w:type="dxa"/>
        </w:tblCellMar>
      </w:tblPr>
      <w:tblGrid>
        <w:gridCol w:w="912"/>
        <w:gridCol w:w="1750"/>
        <w:gridCol w:w="2917"/>
        <w:gridCol w:w="791"/>
        <w:gridCol w:w="1355"/>
        <w:gridCol w:w="1000"/>
        <w:gridCol w:w="666"/>
        <w:gridCol w:w="3341"/>
        <w:gridCol w:w="1220"/>
        <w:gridCol w:w="26"/>
      </w:tblGrid>
      <w:tr>
        <w:tblPrEx>
          <w:tblCellMar>
            <w:top w:w="0" w:type="dxa"/>
            <w:left w:w="0" w:type="dxa"/>
            <w:bottom w:w="0" w:type="dxa"/>
            <w:right w:w="0" w:type="dxa"/>
          </w:tblCellMar>
        </w:tblPrEx>
        <w:trPr>
          <w:trHeight w:val="873" w:hRule="atLeast"/>
        </w:trPr>
        <w:tc>
          <w:tcPr>
            <w:tcW w:w="13952" w:type="dxa"/>
            <w:gridSpan w:val="9"/>
            <w:tcBorders>
              <w:top w:val="nil"/>
              <w:left w:val="nil"/>
              <w:bottom w:val="nil"/>
              <w:right w:val="nil"/>
            </w:tcBorders>
            <w:noWrap/>
            <w:tcMar>
              <w:top w:w="10" w:type="dxa"/>
              <w:left w:w="10" w:type="dxa"/>
              <w:right w:w="10" w:type="dxa"/>
            </w:tcMar>
            <w:vAlign w:val="center"/>
          </w:tcPr>
          <w:p>
            <w:pPr>
              <w:spacing w:line="584" w:lineRule="exact"/>
              <w:jc w:val="center"/>
              <w:rPr>
                <w:rStyle w:val="17"/>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7"/>
                <w:rFonts w:ascii="Times New Roman" w:hAnsi="Times New Roman" w:eastAsia="方正小标宋简体" w:cs="Times New Roman"/>
                <w:sz w:val="44"/>
                <w:szCs w:val="44"/>
              </w:rPr>
              <w:t>部门（单位）整体绩效自评表</w:t>
            </w:r>
          </w:p>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2019</w:t>
            </w:r>
            <w:r>
              <w:rPr>
                <w:rFonts w:hint="default" w:ascii="宋体" w:hAnsi="宋体" w:eastAsia="宋体" w:cs="宋体"/>
                <w:i w:val="0"/>
                <w:iCs w:val="0"/>
                <w:color w:val="auto"/>
                <w:kern w:val="0"/>
                <w:sz w:val="24"/>
                <w:szCs w:val="24"/>
                <w:highlight w:val="none"/>
                <w:u w:val="none"/>
                <w:lang w:val="en-US" w:eastAsia="zh-CN" w:bidi="ar"/>
              </w:rPr>
              <w:t>年度）</w:t>
            </w:r>
          </w:p>
        </w:tc>
        <w:tc>
          <w:tcPr>
            <w:tcW w:w="26" w:type="dxa"/>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5579"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部门（单位）名称</w:t>
            </w:r>
          </w:p>
        </w:tc>
        <w:tc>
          <w:tcPr>
            <w:tcW w:w="8373"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大厂回族自治县自然资源和规划局</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年度主要任务</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重点工作任务名称</w:t>
            </w:r>
          </w:p>
        </w:tc>
        <w:tc>
          <w:tcPr>
            <w:tcW w:w="2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重点工作任务完成情况</w:t>
            </w:r>
          </w:p>
        </w:tc>
        <w:tc>
          <w:tcPr>
            <w:tcW w:w="7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拟对应安排的重点项目</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项目完成情况</w:t>
            </w:r>
          </w:p>
        </w:tc>
        <w:tc>
          <w:tcPr>
            <w:tcW w:w="10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预算数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（万元）</w:t>
            </w:r>
          </w:p>
        </w:tc>
        <w:tc>
          <w:tcPr>
            <w:tcW w:w="6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其中：财政拨款</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执行数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（万元）</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其中：财政拨款</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完成部门年度储备计划</w:t>
            </w:r>
          </w:p>
        </w:tc>
        <w:tc>
          <w:tcPr>
            <w:tcW w:w="291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完成部门年度储备计划</w:t>
            </w:r>
          </w:p>
        </w:tc>
        <w:tc>
          <w:tcPr>
            <w:tcW w:w="791"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储备资金</w:t>
            </w:r>
          </w:p>
        </w:tc>
        <w:tc>
          <w:tcPr>
            <w:tcW w:w="1355"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完成</w:t>
            </w:r>
          </w:p>
        </w:tc>
        <w:tc>
          <w:tcPr>
            <w:tcW w:w="1000"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666"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3341"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1220"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11380.2068</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91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355"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000"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666"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341"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20"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一级指标</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二级指标</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目标值</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自评实际值</w:t>
            </w:r>
          </w:p>
        </w:tc>
        <w:tc>
          <w:tcPr>
            <w:tcW w:w="3341" w:type="dxa"/>
            <w:tcBorders>
              <w:top w:val="single" w:color="000000" w:sz="4" w:space="0"/>
              <w:left w:val="nil"/>
              <w:bottom w:val="nil"/>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权重</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自评得分</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部门管理（40分）</w:t>
            </w:r>
          </w:p>
        </w:tc>
        <w:tc>
          <w:tcPr>
            <w:tcW w:w="17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投入</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预算完成率 </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≥95%</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95%</w:t>
            </w: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预算调整率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支出进度率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“三公经费”变动率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　</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结转结余变动率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　</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财务管理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问题资金占比</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采购管理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政府采购执行率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≥95%</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95%</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资产管理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资产管理规范性</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规范　</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规范</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人员管理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在职人员控制率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信息管理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预决算信息公开性</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按规定公开</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按规定公开</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绩效信息公开性</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按规定公开</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按规定公开</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绩效管理</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绩效目标审核通过率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绩效自评覆盖率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部门产出（40分）</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数 量</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重点工作实际完成率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质 量</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重点工作质量达标率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时 效</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重点工作完成及时率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成 本</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一般性支出压减率</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&gt;0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0.08</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部门效果（20分）</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经济效益</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社会效益</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生态效益</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341" w:type="dxa"/>
            <w:tcBorders>
              <w:top w:val="single" w:color="000000" w:sz="4" w:space="0"/>
              <w:left w:val="nil"/>
              <w:bottom w:val="single" w:color="000000" w:sz="4" w:space="0"/>
              <w:right w:val="nil"/>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91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满意度</w:t>
            </w:r>
          </w:p>
        </w:tc>
        <w:tc>
          <w:tcPr>
            <w:tcW w:w="370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≥90%</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95%</w:t>
            </w:r>
          </w:p>
        </w:tc>
        <w:tc>
          <w:tcPr>
            <w:tcW w:w="33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3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合　计</w:t>
            </w:r>
          </w:p>
        </w:tc>
        <w:tc>
          <w:tcPr>
            <w:tcW w:w="13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p>
        </w:tc>
        <w:tc>
          <w:tcPr>
            <w:tcW w:w="166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p>
        </w:tc>
        <w:tc>
          <w:tcPr>
            <w:tcW w:w="3341"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1680"/>
                <w:tab w:val="left" w:pos="2520"/>
              </w:tabs>
              <w:ind w:left="-199" w:leftChars="-95" w:right="1640" w:rightChars="781" w:firstLine="149" w:firstLineChars="83"/>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3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评价结论：</w:t>
            </w:r>
          </w:p>
        </w:tc>
        <w:tc>
          <w:tcPr>
            <w:tcW w:w="7582"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财政资金预算配置合理合规，预算执行严格有序，预算管理规范可控，预算效益合乎预期。</w:t>
            </w: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3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绩效指标完成的指标</w:t>
            </w:r>
          </w:p>
        </w:tc>
        <w:tc>
          <w:tcPr>
            <w:tcW w:w="7582"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3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超标完成和尚未完成的绩效指标与目标值偏差程度</w:t>
            </w:r>
          </w:p>
        </w:tc>
        <w:tc>
          <w:tcPr>
            <w:tcW w:w="7582"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5579" w:type="dxa"/>
            <w:gridSpan w:val="3"/>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超标完成和尚未完成的绩效指标原因说明</w:t>
            </w:r>
          </w:p>
        </w:tc>
        <w:tc>
          <w:tcPr>
            <w:tcW w:w="8373"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2662" w:type="dxa"/>
            <w:gridSpan w:val="2"/>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改进措施</w:t>
            </w:r>
          </w:p>
        </w:tc>
        <w:tc>
          <w:tcPr>
            <w:tcW w:w="2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1.对部门预算编制、预算执行与部门决算等的措施</w:t>
            </w:r>
          </w:p>
        </w:tc>
        <w:tc>
          <w:tcPr>
            <w:tcW w:w="8373"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2662" w:type="dxa"/>
            <w:gridSpan w:val="2"/>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2.对制度完善、人员管理、资产配置等的措施</w:t>
            </w:r>
          </w:p>
        </w:tc>
        <w:tc>
          <w:tcPr>
            <w:tcW w:w="8373"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2662" w:type="dxa"/>
            <w:gridSpan w:val="2"/>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3.其他措施</w:t>
            </w:r>
          </w:p>
        </w:tc>
        <w:tc>
          <w:tcPr>
            <w:tcW w:w="8373"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2020年度我局将在现有的基础上，进一步提升业务科室绩效自评主动性、能动性，结合内控制度，进一步优化绩效自评结果应用。</w:t>
            </w:r>
          </w:p>
        </w:tc>
        <w:tc>
          <w:tcPr>
            <w:tcW w:w="2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pStyle w:val="2"/>
        <w:rPr>
          <w:rFonts w:hint="eastAsia" w:ascii="宋体" w:hAnsi="宋体" w:eastAsia="宋体" w:cs="宋体"/>
          <w:i w:val="0"/>
          <w:iCs w:val="0"/>
          <w:color w:val="auto"/>
          <w:kern w:val="0"/>
          <w:sz w:val="24"/>
          <w:szCs w:val="24"/>
          <w:highlight w:val="none"/>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p>
      <w:pPr>
        <w:rPr>
          <w:rFonts w:hint="eastAsia" w:ascii="宋体" w:hAnsi="宋体" w:eastAsia="宋体" w:cs="宋体"/>
          <w:color w:val="auto"/>
          <w:sz w:val="24"/>
          <w:szCs w:val="24"/>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5"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052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6"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UIGothic,Bold">
    <w:altName w:val="Malgun Gothic"/>
    <w:panose1 w:val="00000000000000000000"/>
    <w:charset w:val="81"/>
    <w:family w:val="auto"/>
    <w:pitch w:val="default"/>
    <w:sig w:usb0="00000000" w:usb1="00000000" w:usb2="00000010" w:usb3="00000000" w:csb0="00080000" w:csb1="00000000"/>
  </w:font>
  <w:font w:name="ArialUnicodeMS">
    <w:altName w:val="Malgun Gothic"/>
    <w:panose1 w:val="00000000000000000000"/>
    <w:charset w:val="81"/>
    <w:family w:val="auto"/>
    <w:pitch w:val="default"/>
    <w:sig w:usb0="00000000" w:usb1="00000000" w:usb2="00000010" w:usb3="00000000" w:csb0="0008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745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6745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848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6848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950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950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052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052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360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360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8720"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78720;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974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5648"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5648;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769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155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7155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257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7257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83840"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3840;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ONERDtoAAAAJAQAADwAAAAAAAAABACAAAAAiAAAAZHJzL2Rvd25yZXYueG1sUEsBAhQA&#10;FAAAAAgAh07iQIojR6U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486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Hpuwe1wAA&#10;AAcBAAAPAAAAAAAAAAEAIAAAACIAAABkcnMvZG93bnJldi54bWxQSwECFAAUAAAACACHTuJAxi/m&#10;njwDAACDCAAADgAAAAAAAAABACAAAAAmAQAAZHJzL2Uyb0RvYy54bWxQSwUGAAAAAAYABgBZAQAA&#10;1AY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8179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179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233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233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131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336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438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643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540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NDQwYjVhNDg4MzQzM2Y5OTVhNWZjZGY0OWMzOTgifQ=="/>
  </w:docVars>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3E40964"/>
    <w:rsid w:val="055F7B49"/>
    <w:rsid w:val="06021ED4"/>
    <w:rsid w:val="0B011416"/>
    <w:rsid w:val="11BD3093"/>
    <w:rsid w:val="2DB00048"/>
    <w:rsid w:val="2E7D7D6F"/>
    <w:rsid w:val="2F2F3FEA"/>
    <w:rsid w:val="31C2036A"/>
    <w:rsid w:val="320D02A5"/>
    <w:rsid w:val="32202CB4"/>
    <w:rsid w:val="348E566F"/>
    <w:rsid w:val="3A226944"/>
    <w:rsid w:val="3AEE6A48"/>
    <w:rsid w:val="3C1620AA"/>
    <w:rsid w:val="3D8F080F"/>
    <w:rsid w:val="40C13C97"/>
    <w:rsid w:val="44CE1FA4"/>
    <w:rsid w:val="47C259B3"/>
    <w:rsid w:val="487F73ED"/>
    <w:rsid w:val="4A347EAE"/>
    <w:rsid w:val="4B966906"/>
    <w:rsid w:val="52600405"/>
    <w:rsid w:val="529B4319"/>
    <w:rsid w:val="53E55924"/>
    <w:rsid w:val="5508684C"/>
    <w:rsid w:val="57773DD6"/>
    <w:rsid w:val="578B79AB"/>
    <w:rsid w:val="5CCD3FD5"/>
    <w:rsid w:val="61FA5F9D"/>
    <w:rsid w:val="64CD6910"/>
    <w:rsid w:val="65C40AC0"/>
    <w:rsid w:val="6789158D"/>
    <w:rsid w:val="67D81BA4"/>
    <w:rsid w:val="6AAF1C96"/>
    <w:rsid w:val="6BB70C56"/>
    <w:rsid w:val="6E6529AB"/>
    <w:rsid w:val="75681757"/>
    <w:rsid w:val="75A346A8"/>
    <w:rsid w:val="78394515"/>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9">
    <w:name w:val="Normal (Web)"/>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table" w:styleId="11">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字符"/>
    <w:basedOn w:val="12"/>
    <w:link w:val="8"/>
    <w:qFormat/>
    <w:uiPriority w:val="99"/>
    <w:rPr>
      <w:rFonts w:asciiTheme="minorHAnsi" w:hAnsiTheme="minorHAnsi" w:eastAsiaTheme="minorEastAsia"/>
      <w:sz w:val="18"/>
      <w:szCs w:val="18"/>
    </w:rPr>
  </w:style>
  <w:style w:type="character" w:customStyle="1" w:styleId="14">
    <w:name w:val="页脚 字符"/>
    <w:basedOn w:val="12"/>
    <w:link w:val="7"/>
    <w:qFormat/>
    <w:uiPriority w:val="99"/>
    <w:rPr>
      <w:sz w:val="18"/>
      <w:szCs w:val="18"/>
    </w:rPr>
  </w:style>
  <w:style w:type="paragraph" w:customStyle="1" w:styleId="15">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6">
    <w:name w:val="批注框文本 字符"/>
    <w:basedOn w:val="12"/>
    <w:link w:val="6"/>
    <w:semiHidden/>
    <w:qFormat/>
    <w:uiPriority w:val="99"/>
    <w:rPr>
      <w:rFonts w:asciiTheme="minorHAnsi" w:hAnsiTheme="minorHAnsi" w:eastAsiaTheme="minorEastAsia" w:cstheme="minorBidi"/>
      <w:kern w:val="2"/>
      <w:sz w:val="18"/>
      <w:szCs w:val="18"/>
    </w:rPr>
  </w:style>
  <w:style w:type="character" w:customStyle="1" w:styleId="17">
    <w:name w:val="font11"/>
    <w:qFormat/>
    <w:uiPriority w:val="0"/>
    <w:rPr>
      <w:rFonts w:ascii="仿宋_GB2312" w:eastAsia="仿宋_GB2312" w:cs="仿宋_GB2312"/>
      <w:color w:val="000000"/>
      <w:sz w:val="18"/>
      <w:szCs w:val="18"/>
      <w:u w:val="none"/>
      <w:lang w:bidi="ar-SA"/>
    </w:rPr>
  </w:style>
  <w:style w:type="character" w:customStyle="1" w:styleId="18">
    <w:name w:val="font112"/>
    <w:qFormat/>
    <w:uiPriority w:val="0"/>
    <w:rPr>
      <w:rFonts w:ascii="宋体" w:eastAsia="宋体" w:cs="宋体"/>
      <w:color w:val="000000"/>
      <w:sz w:val="18"/>
      <w:szCs w:val="18"/>
      <w:u w:val="none"/>
      <w:lang w:bidi="ar-SA"/>
    </w:rPr>
  </w:style>
  <w:style w:type="character" w:customStyle="1" w:styleId="19">
    <w:name w:val="font141"/>
    <w:qFormat/>
    <w:uiPriority w:val="0"/>
    <w:rPr>
      <w:rFonts w:ascii="Times New Roman" w:hAnsi="Times New Roman" w:cs="Times New Roman"/>
      <w:color w:val="000000"/>
      <w:sz w:val="18"/>
      <w:szCs w:val="18"/>
      <w:u w:val="none"/>
      <w:lang w:bidi="ar-SA"/>
    </w:rPr>
  </w:style>
  <w:style w:type="paragraph" w:styleId="20">
    <w:name w:val="List Paragraph"/>
    <w:basedOn w:val="1"/>
    <w:qFormat/>
    <w:uiPriority w:val="99"/>
    <w:pPr>
      <w:ind w:firstLine="420" w:firstLineChars="200"/>
    </w:pPr>
  </w:style>
  <w:style w:type="character" w:customStyle="1" w:styleId="21">
    <w:name w:val="font171"/>
    <w:basedOn w:val="12"/>
    <w:qFormat/>
    <w:uiPriority w:val="0"/>
    <w:rPr>
      <w:rFonts w:ascii="仿宋_GB2312" w:eastAsia="仿宋_GB2312" w:cs="仿宋_GB2312"/>
      <w:color w:val="000000"/>
      <w:sz w:val="18"/>
      <w:szCs w:val="18"/>
      <w:u w:val="none"/>
    </w:rPr>
  </w:style>
  <w:style w:type="character" w:customStyle="1" w:styleId="22">
    <w:name w:val="font51"/>
    <w:basedOn w:val="12"/>
    <w:qFormat/>
    <w:uiPriority w:val="0"/>
    <w:rPr>
      <w:rFonts w:ascii="Times New Roman" w:hAnsi="Times New Roman" w:cs="Times New Roman"/>
      <w:color w:val="000000"/>
      <w:sz w:val="18"/>
      <w:szCs w:val="18"/>
      <w:u w:val="none"/>
    </w:rPr>
  </w:style>
  <w:style w:type="character" w:customStyle="1" w:styleId="23">
    <w:name w:val="font161"/>
    <w:basedOn w:val="12"/>
    <w:qFormat/>
    <w:uiPriority w:val="0"/>
    <w:rPr>
      <w:rFonts w:ascii="宋体" w:eastAsia="宋体" w:cs="宋体"/>
      <w:color w:val="000000"/>
      <w:sz w:val="18"/>
      <w:szCs w:val="18"/>
      <w:u w:val="none"/>
    </w:rPr>
  </w:style>
  <w:style w:type="character" w:customStyle="1" w:styleId="24">
    <w:name w:val="font81"/>
    <w:basedOn w:val="12"/>
    <w:qFormat/>
    <w:uiPriority w:val="0"/>
    <w:rPr>
      <w:rFonts w:ascii="Times New Roman" w:hAnsi="Times New Roman" w:cs="Times New Roman"/>
      <w:color w:val="000000"/>
      <w:sz w:val="21"/>
      <w:szCs w:val="21"/>
      <w:u w:val="none"/>
    </w:rPr>
  </w:style>
  <w:style w:type="character" w:customStyle="1" w:styleId="25">
    <w:name w:val="font121"/>
    <w:basedOn w:val="12"/>
    <w:qFormat/>
    <w:uiPriority w:val="0"/>
    <w:rPr>
      <w:rFonts w:ascii="Times New Roman" w:hAnsi="Times New Roman" w:cs="Times New Roman"/>
      <w:color w:val="000000"/>
      <w:sz w:val="20"/>
      <w:szCs w:val="20"/>
      <w:u w:val="none"/>
    </w:rPr>
  </w:style>
  <w:style w:type="character" w:customStyle="1" w:styleId="26">
    <w:name w:val="font131"/>
    <w:basedOn w:val="12"/>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customXml" Target="../customXml/item1.xml"/><Relationship Id="rId40" Type="http://schemas.openxmlformats.org/officeDocument/2006/relationships/image" Target="media/image8.emf"/><Relationship Id="rId4" Type="http://schemas.openxmlformats.org/officeDocument/2006/relationships/header" Target="header2.xml"/><Relationship Id="rId39" Type="http://schemas.openxmlformats.org/officeDocument/2006/relationships/oleObject" Target="embeddings/oleObject6.bin"/><Relationship Id="rId38" Type="http://schemas.openxmlformats.org/officeDocument/2006/relationships/image" Target="media/image7.emf"/><Relationship Id="rId37" Type="http://schemas.openxmlformats.org/officeDocument/2006/relationships/oleObject" Target="embeddings/oleObject5.bin"/><Relationship Id="rId36" Type="http://schemas.openxmlformats.org/officeDocument/2006/relationships/image" Target="media/image6.emf"/><Relationship Id="rId35" Type="http://schemas.openxmlformats.org/officeDocument/2006/relationships/oleObject" Target="embeddings/oleObject4.bin"/><Relationship Id="rId34" Type="http://schemas.openxmlformats.org/officeDocument/2006/relationships/image" Target="media/image5.emf"/><Relationship Id="rId33" Type="http://schemas.openxmlformats.org/officeDocument/2006/relationships/oleObject" Target="embeddings/oleObject3.bin"/><Relationship Id="rId32" Type="http://schemas.openxmlformats.org/officeDocument/2006/relationships/image" Target="media/image4.emf"/><Relationship Id="rId31" Type="http://schemas.openxmlformats.org/officeDocument/2006/relationships/oleObject" Target="embeddings/oleObject2.bin"/><Relationship Id="rId30" Type="http://schemas.openxmlformats.org/officeDocument/2006/relationships/image" Target="media/image3.e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12</TotalTime>
  <ScaleCrop>false</ScaleCrop>
  <LinksUpToDate>false</LinksUpToDate>
  <CharactersWithSpaces>13121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WPS_1683613241</cp:lastModifiedBy>
  <cp:lastPrinted>2020-07-30T02:37:00Z</cp:lastPrinted>
  <dcterms:modified xsi:type="dcterms:W3CDTF">2023-11-16T08:02:18Z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70B6CEC064784CF29579A2254A6A024C</vt:lpwstr>
  </property>
</Properties>
</file>